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2018年北京市住房城乡建设系统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打击假冒建筑施工特种作业操作证专项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治理行动实施方案</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为贯彻落实《北京市安全生产委员会办公室关于印发</w:t>
      </w:r>
      <w:r>
        <w:rPr>
          <w:rFonts w:hint="eastAsia" w:ascii="仿宋_GB2312" w:hAnsi="仿宋_GB2312" w:eastAsia="仿宋_GB2312" w:cs="仿宋_GB2312"/>
          <w:sz w:val="32"/>
          <w:szCs w:val="32"/>
          <w:lang w:val="en-US" w:eastAsia="zh-CN"/>
        </w:rPr>
        <w:t>2018年北京市打击假冒特种作业操作证专项治理行动实施方案的通知</w:t>
      </w:r>
      <w:r>
        <w:rPr>
          <w:rFonts w:hint="eastAsia" w:ascii="仿宋_GB2312" w:hAnsi="仿宋_GB2312" w:eastAsia="仿宋_GB2312" w:cs="仿宋_GB2312"/>
          <w:sz w:val="32"/>
          <w:szCs w:val="32"/>
          <w:lang w:eastAsia="zh-CN"/>
        </w:rPr>
        <w:t>》（京安办发〔</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26号</w:t>
      </w:r>
      <w:r>
        <w:rPr>
          <w:rFonts w:hint="eastAsia" w:ascii="仿宋_GB2312" w:hAnsi="仿宋_GB2312" w:eastAsia="仿宋_GB2312" w:cs="仿宋_GB2312"/>
          <w:sz w:val="32"/>
          <w:szCs w:val="32"/>
          <w:lang w:eastAsia="zh-CN"/>
        </w:rPr>
        <w:t>）要求，扎实开展好建筑施工领域打击无建筑施工特种作业操作证上岗作业、持假冒建筑施工特种作业操作证上岗作业的专项治理行动，制定本</w:t>
      </w:r>
      <w:r>
        <w:rPr>
          <w:rFonts w:hint="eastAsia" w:ascii="仿宋_GB2312" w:hAnsi="仿宋_GB2312" w:eastAsia="仿宋_GB2312" w:cs="仿宋_GB2312"/>
          <w:sz w:val="32"/>
          <w:szCs w:val="32"/>
          <w:lang w:val="en-US" w:eastAsia="zh-CN"/>
        </w:rPr>
        <w:t>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以习近平新时代中国特色社会主义思想为指导，牢固树立安全发展理念，弘扬生命至上、安全第一的思想，严格落实安全生产法律法规和特种作业管理制度，督促工程项目参建单位落实企业安全生产主体责任，提高从业人员安全意识，持续加强对建筑施工特种作业及其相关证件的管理，有效防范</w:t>
      </w:r>
      <w:r>
        <w:rPr>
          <w:rFonts w:hint="eastAsia" w:ascii="仿宋_GB2312" w:hAnsi="仿宋_GB2312" w:eastAsia="仿宋_GB2312" w:cs="仿宋_GB2312"/>
          <w:sz w:val="32"/>
          <w:szCs w:val="32"/>
          <w:lang w:eastAsia="zh-CN"/>
        </w:rPr>
        <w:t>无建筑施工特种作业操作证上岗（以下简称“无证上岗”，包括未取得证件、取得的证件与操作工种不符）、持假冒建筑施工特种作业操作证上岗（以下简称“持假证上岗”）引发的生产安全事故，保障首都安全生产形势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二、工作原则和目标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坚持“委内各司其职、属地监督抽查、市级巡查执法”的原则，开展以无证上岗、持假证上岗为重点的专项治理行动。通过开展专项治理行动，依法从严查处相关违法违规行为，进一步摸清当前存在的主要问题，继续强化培训考核发证管理，拓宽政府信息查询渠道，增强企业辨假识骗能力，全面提升建筑施工特种作业操作证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住房城乡建设委成立“2018年北京市住房城乡建设系统打击假冒建筑施工特种作业操作证专项治理行动”领导小组（以下简称“领导小组”），由陶永副巡视员、王鑫副巡视员担任组长。施工安全管理处、市建筑业执业资格注册中心、市建设工程安全质量监督总站、各区住房城乡建设主管部门作为成员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（一）施工安全管理处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负责专项治理行动实施方案的制定工作；负责阶段性信息汇总上报和工作总结上报工作；负责对建筑起重机械产权单位的违法违规和重大失信行为给予不良信用记录。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（二）市建筑业执业资格注册中心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配合完成专项治理行动实施方案的制定工作；负责进一步完善培训考核发证管理制度；负责在证书上逐步完善二维码识别功能；负责对培训机构的检查工作。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（三）市建设工程安全质量监督总站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结合巡查执法，对本市工程项目参建单位无证上岗、持假证上岗的违法违规行为开展执法抽查，对存在问题的依法进行查处。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（四）各区住房城乡建设主管部门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结合施工安全监督计划，对本辖区工程项目参建单位无证上岗、持假证上岗的违法违规行为开展执法抽查，对存在问题的依法进行查处。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检查工种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电工、建筑架子工（P）、建筑架子工（F）、建筑起重机械司机（T）、建筑起重机械司机（S）、建筑起重机械司机（W）、建筑起重机械安装拆卸工（T、S、W）、建筑起重机械安装拆卸工（S、W）、建筑起重机械信号司索工、高处作业吊篮安装拆卸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检查重点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（一）是否存在无证上岗、持假证上岗作业情况，包括：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1.建筑起重机械产权单位配备的建筑起重机械司机是否存在无证上岗、持假证上岗作业情况；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2.建筑起重机械拆装单位配备的建筑起重机械安装拆卸工是否存在无证上岗、持假证上岗作业情况；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3.高处作业吊篮产权单位配备的高处作业吊篮安装拆卸工是否存在无证上岗、持假证上岗作业情况；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4.模板脚手架专业分包单位（从事附着式升降脚手架专业分包）配备的建筑架子工（F）是否存在无证上岗、持假证上岗作业情况；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5.建筑施工总承包单位和专业分包单位、专业承包单位、劳务分包单位配备的建筑电工、建筑架子工（P）、建筑起重机械信号司索工是否存在无证上岗、持假证上岗作业情况；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（二）是否建立健全特种作业管理制度、操作规程；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（三）特种作业人员档案管理情况；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（四）特种作业人员安全教育培训情况。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七、实施步骤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（一）动员部署阶段（8月10日前）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制定并印发开展以无证上岗、持假证上岗为重点的专项治理行动实施方案，及时传达部署。各区住房城乡建设主管部门、各施工单位要将本通知传达到各工程项目，确保项目一线管理人员知晓本通知要求。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（二）自查自改阶段（8月11日至8月31日）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各工程项目施工总承包单位要发挥总包作用，统筹组织并督促各相关参建单位按照本通知第六条检查重点对本项目开展自查，发现问题及时整改。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工程项目宜配备身份证识别仪器，采取“四步核对法”核实操作证的真伪，即：操作人员与操作证核对、操作证与网站信息核对、操作证与身份证核对、身份证与识别仪器核对。对于伪造操作证的，该操作人员应当立即停止使用，建议将涉事单位清出工地，在相关合格供方名录调整时，将该单位清出名录。对于伪造身份证的，应当依法移交公安机关处理。本市建筑施工特种作业人员信息应从市住房城乡建设委官网-查询中心-工程建设类北京市专业人员信息查询-建筑施工特种作业人员处查询。外埠建筑施工特种作业人员信息应从外埠住房城乡建设主管部门官方网站或其授权的合法网站处查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（三）专项执法阶段（9月1日至10月31日）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住房城乡建设主管部门结合施工安全监督计划，对本辖区工程项目参建单位无证上岗、持假证上岗的违法违规行为开展执法抽查，对存在问题的依法进行查处。市建设工程安全质量监督总站依职责开展执法抽查，对存在问题的依法进行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（四）总结上报阶段（11月上旬）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住房城乡建设主管部门、各集团总公司在开展专项治理行动中要留存检查记录，及时总结存在的突出问题，向领导小组提出改进措施和建议。请各区住房城乡建设主管部门、各集团总公司于11月5日前将工作总结报送施工安全管理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（一）提高思想认识，强化市区联动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要认识到严厉打击无证上岗、持假证上岗违法违规行为对维护首都社会和谐稳定、保护从业人员人身安全和推动安全生产工作的重要意义，依职责细化工作措施，确保工作取得实效。要强化市区联动，区住房城乡建设主管部门对抽查中发现的严重违法违规行为，除依法进行查处外，仍需进一步采取全市通报、媒体曝光、信用评价处理等手段的，应将有关情况报市住房城乡建设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（二）强化总包责任，加强执法推动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工程项目施工总承包单位负责对本工程各专业分包单位、专业承包单位、劳务分包单位、建筑起重机械产权单位和拆装单位、高处作业吊篮产权单位、附着式升降脚手架专业分包单位配备特种作业人员是否存在无证上岗、持假证上岗作业情况进行检查，发现问题及时督促相关单位进行整改，确保整改工作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建设工程安全质量监督总站、各区住房城乡建设主管部门要依据《建设工程安全生产管理条例》、《北京市建筑业企业违法违规行为记分标准》等对相关单位予以依法处理，对工程项目施工总承包单位未认真履行审核证件责任的行为，要依法进行处罚或进行约谈告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（三）分析查找问题，及时报送信息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在开展专项治理行动期间，要分析查找问题，健全完善制度，积极探索行之有效的治理手段。各区住房城乡建设主管部门、各集团总公司要分别于每月20日前，将《无证上岗、持假证上岗专项治理行动统计表》（见附件）报送市住房城乡建设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附件：无证上岗、持假证上岗专项治理行动统计表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无证上岗、持假证上岗专项治理行动统计表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（各集团总公司填写）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tbl>
      <w:tblPr>
        <w:tblStyle w:val="7"/>
        <w:tblW w:w="10681" w:type="dxa"/>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2269"/>
        <w:gridCol w:w="943"/>
        <w:gridCol w:w="1438"/>
        <w:gridCol w:w="850"/>
        <w:gridCol w:w="1112"/>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34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单位名称</w:t>
            </w:r>
          </w:p>
        </w:tc>
        <w:tc>
          <w:tcPr>
            <w:tcW w:w="7225"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自查时间</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 xml:space="preserve"> 月 日至 月 日  </w:t>
            </w:r>
          </w:p>
        </w:tc>
        <w:tc>
          <w:tcPr>
            <w:tcW w:w="238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自查项目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（项次）</w:t>
            </w:r>
          </w:p>
        </w:tc>
        <w:tc>
          <w:tcPr>
            <w:tcW w:w="257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4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检查特种作业人员（人）</w:t>
            </w:r>
          </w:p>
        </w:tc>
        <w:tc>
          <w:tcPr>
            <w:tcW w:w="226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p>
        </w:tc>
        <w:tc>
          <w:tcPr>
            <w:tcW w:w="94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其中</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（人）</w:t>
            </w:r>
          </w:p>
        </w:tc>
        <w:tc>
          <w:tcPr>
            <w:tcW w:w="257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34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26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不合格（人）</w:t>
            </w:r>
          </w:p>
        </w:tc>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整改率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w:t>
            </w:r>
          </w:p>
        </w:tc>
        <w:tc>
          <w:tcPr>
            <w:tcW w:w="6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0681"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不合格人员中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34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岗位工种</w:t>
            </w:r>
          </w:p>
        </w:tc>
        <w:tc>
          <w:tcPr>
            <w:tcW w:w="226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不合格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（人）</w:t>
            </w:r>
          </w:p>
        </w:tc>
        <w:tc>
          <w:tcPr>
            <w:tcW w:w="4956"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34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p>
        </w:tc>
        <w:tc>
          <w:tcPr>
            <w:tcW w:w="226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p>
        </w:tc>
        <w:tc>
          <w:tcPr>
            <w:tcW w:w="238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无证上岗</w:t>
            </w:r>
          </w:p>
        </w:tc>
        <w:tc>
          <w:tcPr>
            <w:tcW w:w="2575"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持假证上岗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34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p>
        </w:tc>
        <w:tc>
          <w:tcPr>
            <w:tcW w:w="2269"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无证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（人）</w:t>
            </w:r>
          </w:p>
        </w:tc>
        <w:tc>
          <w:tcPr>
            <w:tcW w:w="14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工种不符（人）</w:t>
            </w:r>
          </w:p>
        </w:tc>
        <w:tc>
          <w:tcPr>
            <w:tcW w:w="2575" w:type="dxa"/>
            <w:gridSpan w:val="3"/>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建筑电工</w:t>
            </w:r>
          </w:p>
        </w:tc>
        <w:tc>
          <w:tcPr>
            <w:tcW w:w="22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5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建筑架子工（P）</w:t>
            </w:r>
          </w:p>
        </w:tc>
        <w:tc>
          <w:tcPr>
            <w:tcW w:w="22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建筑架子工（F）</w:t>
            </w:r>
          </w:p>
        </w:tc>
        <w:tc>
          <w:tcPr>
            <w:tcW w:w="22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建筑起重机械司机（T）</w:t>
            </w:r>
          </w:p>
        </w:tc>
        <w:tc>
          <w:tcPr>
            <w:tcW w:w="22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建筑起重机械司机（S）</w:t>
            </w:r>
          </w:p>
        </w:tc>
        <w:tc>
          <w:tcPr>
            <w:tcW w:w="22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5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建筑起重机械司机（W）</w:t>
            </w:r>
          </w:p>
        </w:tc>
        <w:tc>
          <w:tcPr>
            <w:tcW w:w="22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建筑起重机械安装拆卸工</w:t>
            </w:r>
          </w:p>
        </w:tc>
        <w:tc>
          <w:tcPr>
            <w:tcW w:w="22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建筑起重机械信号司索工</w:t>
            </w:r>
          </w:p>
        </w:tc>
        <w:tc>
          <w:tcPr>
            <w:tcW w:w="22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高处作业吊篮安装拆卸工</w:t>
            </w:r>
          </w:p>
        </w:tc>
        <w:tc>
          <w:tcPr>
            <w:tcW w:w="22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0681"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配备身份证识别仪器的项目数量：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配备率（已配备的项目数量/项目总数量）：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未配备身份证识别仪器的主要原因：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无证上岗、持假证上岗专项治理行动统计表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（各区住房城乡建设主管部门填写）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tbl>
      <w:tblPr>
        <w:tblStyle w:val="7"/>
        <w:tblW w:w="10681" w:type="dxa"/>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438"/>
        <w:gridCol w:w="87"/>
        <w:gridCol w:w="1763"/>
        <w:gridCol w:w="419"/>
        <w:gridCol w:w="943"/>
        <w:gridCol w:w="450"/>
        <w:gridCol w:w="988"/>
        <w:gridCol w:w="92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0" w:hRule="atLeast"/>
        </w:trPr>
        <w:tc>
          <w:tcPr>
            <w:tcW w:w="345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单位名称</w:t>
            </w:r>
          </w:p>
        </w:tc>
        <w:tc>
          <w:tcPr>
            <w:tcW w:w="7225"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抽查时间</w:t>
            </w:r>
          </w:p>
        </w:tc>
        <w:tc>
          <w:tcPr>
            <w:tcW w:w="226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 xml:space="preserve"> 月 日至 月 日  </w:t>
            </w:r>
          </w:p>
        </w:tc>
        <w:tc>
          <w:tcPr>
            <w:tcW w:w="238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抽查项目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（项次）</w:t>
            </w:r>
          </w:p>
        </w:tc>
        <w:tc>
          <w:tcPr>
            <w:tcW w:w="257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45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抽查特种作业人员（人）</w:t>
            </w:r>
          </w:p>
        </w:tc>
        <w:tc>
          <w:tcPr>
            <w:tcW w:w="2269"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p>
        </w:tc>
        <w:tc>
          <w:tcPr>
            <w:tcW w:w="94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其中</w:t>
            </w:r>
          </w:p>
        </w:tc>
        <w:tc>
          <w:tcPr>
            <w:tcW w:w="143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（人）</w:t>
            </w:r>
          </w:p>
        </w:tc>
        <w:tc>
          <w:tcPr>
            <w:tcW w:w="257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34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269"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不合格（人）</w:t>
            </w:r>
          </w:p>
        </w:tc>
        <w:tc>
          <w:tcPr>
            <w:tcW w:w="257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068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不合格人员中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345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岗位工种</w:t>
            </w:r>
          </w:p>
        </w:tc>
        <w:tc>
          <w:tcPr>
            <w:tcW w:w="2269"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不合格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（人）</w:t>
            </w:r>
          </w:p>
        </w:tc>
        <w:tc>
          <w:tcPr>
            <w:tcW w:w="4956"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34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p>
        </w:tc>
        <w:tc>
          <w:tcPr>
            <w:tcW w:w="2269"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p>
        </w:tc>
        <w:tc>
          <w:tcPr>
            <w:tcW w:w="238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无证上岗</w:t>
            </w:r>
          </w:p>
        </w:tc>
        <w:tc>
          <w:tcPr>
            <w:tcW w:w="2575"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持假证上岗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3456"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p>
        </w:tc>
        <w:tc>
          <w:tcPr>
            <w:tcW w:w="2269" w:type="dxa"/>
            <w:gridSpan w:val="3"/>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无证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（人）</w:t>
            </w:r>
          </w:p>
        </w:tc>
        <w:tc>
          <w:tcPr>
            <w:tcW w:w="143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工种不符（人）</w:t>
            </w:r>
          </w:p>
        </w:tc>
        <w:tc>
          <w:tcPr>
            <w:tcW w:w="2575"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5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建筑电工</w:t>
            </w:r>
          </w:p>
        </w:tc>
        <w:tc>
          <w:tcPr>
            <w:tcW w:w="226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建筑架子工（P）</w:t>
            </w:r>
          </w:p>
        </w:tc>
        <w:tc>
          <w:tcPr>
            <w:tcW w:w="226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5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建筑架子工（F）</w:t>
            </w:r>
          </w:p>
        </w:tc>
        <w:tc>
          <w:tcPr>
            <w:tcW w:w="226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建筑起重机械司机（T）</w:t>
            </w:r>
          </w:p>
        </w:tc>
        <w:tc>
          <w:tcPr>
            <w:tcW w:w="226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5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建筑起重机械司机（S）</w:t>
            </w:r>
          </w:p>
        </w:tc>
        <w:tc>
          <w:tcPr>
            <w:tcW w:w="226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建筑起重机械司机（W）</w:t>
            </w:r>
          </w:p>
        </w:tc>
        <w:tc>
          <w:tcPr>
            <w:tcW w:w="226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5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建筑起重机械安装拆卸工</w:t>
            </w:r>
          </w:p>
        </w:tc>
        <w:tc>
          <w:tcPr>
            <w:tcW w:w="226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建筑起重机械信号司索工</w:t>
            </w:r>
          </w:p>
        </w:tc>
        <w:tc>
          <w:tcPr>
            <w:tcW w:w="226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5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高处作业吊篮安装拆卸工</w:t>
            </w:r>
          </w:p>
        </w:tc>
        <w:tc>
          <w:tcPr>
            <w:tcW w:w="226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3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68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行政执法情况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201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行政处罚</w:t>
            </w:r>
          </w:p>
        </w:tc>
        <w:tc>
          <w:tcPr>
            <w:tcW w:w="15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简易（起）</w:t>
            </w:r>
          </w:p>
        </w:tc>
        <w:tc>
          <w:tcPr>
            <w:tcW w:w="17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8"/>
                <w:szCs w:val="28"/>
                <w:vertAlign w:val="baseline"/>
                <w:lang w:val="en-US" w:eastAsia="zh-CN"/>
              </w:rPr>
            </w:pPr>
          </w:p>
        </w:tc>
        <w:tc>
          <w:tcPr>
            <w:tcW w:w="1812"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处罚金额</w:t>
            </w:r>
          </w:p>
        </w:tc>
        <w:tc>
          <w:tcPr>
            <w:tcW w:w="191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简易（万元）</w:t>
            </w: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20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8"/>
                <w:szCs w:val="28"/>
                <w:vertAlign w:val="baseline"/>
                <w:lang w:val="en-US" w:eastAsia="zh-CN"/>
              </w:rPr>
            </w:pPr>
          </w:p>
        </w:tc>
        <w:tc>
          <w:tcPr>
            <w:tcW w:w="15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立案（起）</w:t>
            </w:r>
          </w:p>
        </w:tc>
        <w:tc>
          <w:tcPr>
            <w:tcW w:w="17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8"/>
                <w:szCs w:val="28"/>
                <w:vertAlign w:val="baseline"/>
                <w:lang w:val="en-US" w:eastAsia="zh-CN"/>
              </w:rPr>
            </w:pPr>
          </w:p>
        </w:tc>
        <w:tc>
          <w:tcPr>
            <w:tcW w:w="1812" w:type="dxa"/>
            <w:gridSpan w:val="3"/>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8"/>
                <w:szCs w:val="28"/>
                <w:vertAlign w:val="baseline"/>
                <w:lang w:val="en-US" w:eastAsia="zh-CN"/>
              </w:rPr>
            </w:pPr>
          </w:p>
        </w:tc>
        <w:tc>
          <w:tcPr>
            <w:tcW w:w="191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立案（万元）</w:t>
            </w: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8"/>
                <w:szCs w:val="28"/>
                <w:vertAlign w:val="baseline"/>
                <w:lang w:val="en-US" w:eastAsia="zh-CN"/>
              </w:rPr>
            </w:pPr>
          </w:p>
        </w:tc>
      </w:tr>
    </w:tbl>
    <w:p>
      <w:pPr>
        <w:spacing w:line="600" w:lineRule="exact"/>
        <w:rPr>
          <w:rFonts w:hint="eastAsia" w:ascii="仿宋_GB2312" w:eastAsia="仿宋_GB2312"/>
          <w:sz w:val="32"/>
          <w:szCs w:val="32"/>
        </w:rPr>
      </w:pPr>
    </w:p>
    <w:p>
      <w:pPr>
        <w:spacing w:line="600" w:lineRule="exact"/>
        <w:ind w:firstLine="440" w:firstLineChars="100"/>
        <w:rPr>
          <w:rFonts w:hint="eastAsia" w:ascii="方正小标宋简体" w:hAnsi="方正小标宋简体" w:eastAsia="方正小标宋简体" w:cs="方正小标宋简体"/>
          <w:sz w:val="44"/>
          <w:szCs w:val="44"/>
          <w:lang w:val="en-US" w:eastAsia="zh-CN"/>
        </w:rPr>
      </w:pPr>
      <w:bookmarkStart w:id="0" w:name="_GoBack"/>
      <w:bookmarkEnd w:id="0"/>
    </w:p>
    <w:sectPr>
      <w:footerReference r:id="rId3" w:type="default"/>
      <w:footerReference r:id="rId4" w:type="even"/>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-15875</wp:posOffset>
              </wp:positionH>
              <wp:positionV relativeFrom="paragraph">
                <wp:posOffset>-121920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25pt;margin-top:-9.6pt;height:144pt;width:144pt;mso-position-horizontal-relative:margin;mso-wrap-style:none;z-index:251659264;mso-width-relative:page;mso-height-relative:page;" filled="f" stroked="f" coordsize="21600,21600" o:gfxdata="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JveItcAAAAKAQAADwAAAAAA&#10;AAABACAAAAAiAAAAZHJzL2Rvd25yZXYueG1sUEsBAhQAFAAAAAgAh07iQF7QmRUUAgAAEwQAAA4A&#10;AAAAAAAAAQAgAAAAJgEAAGRycy9lMm9Eb2MueG1sUEsFBgAAAAAGAAYAWQEAAKw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7A388"/>
    <w:multiLevelType w:val="singleLevel"/>
    <w:tmpl w:val="B577A38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attachedTemplate r:id="rId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C61B7"/>
    <w:rsid w:val="0C641244"/>
    <w:rsid w:val="2CBB6E6F"/>
    <w:rsid w:val="2D312876"/>
    <w:rsid w:val="3709774C"/>
    <w:rsid w:val="3ABF774C"/>
    <w:rsid w:val="490A7F00"/>
    <w:rsid w:val="59F17246"/>
    <w:rsid w:val="69CA287B"/>
    <w:rsid w:val="6D535020"/>
    <w:rsid w:val="78CC6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WW-日期1"/>
    <w:basedOn w:val="1"/>
    <w:qFormat/>
    <w:uiPriority w:val="0"/>
    <w:rPr>
      <w:rFonts w:hint="eastAsia"/>
      <w:spacing w:val="20"/>
      <w:kern w:val="1"/>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2018-08-06T07:36:00Z</dcterms:created>
  <dc:creator>大通州帝国公民（魏巍）</dc:creator>
  <cp:lastModifiedBy>大通州帝国公民（魏巍）</cp:lastModifiedBy>
  <cp:lastPrinted>2018-08-09T09:13:00Z</cp:lastPrinted>
  <dcterms:modified xsi:type="dcterms:W3CDTF">2018-08-10T07:37:36Z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