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
          <w:tab w:val="left" w:pos="585"/>
          <w:tab w:val="left" w:pos="2340"/>
        </w:tabs>
        <w:ind w:right="-71" w:rightChars="-34"/>
        <w:rPr>
          <w:rFonts w:ascii="宋体" w:hAnsi="宋体"/>
          <w:sz w:val="30"/>
          <w:szCs w:val="30"/>
        </w:rPr>
      </w:pPr>
      <w:bookmarkStart w:id="0" w:name="_Toc357436238"/>
      <w:bookmarkStart w:id="1" w:name="_Toc341016470"/>
      <w:bookmarkStart w:id="2" w:name="_Toc377638352"/>
      <w:bookmarkStart w:id="3" w:name="_Toc357436249"/>
      <w:r>
        <w:rPr>
          <w:rFonts w:hint="eastAsia" w:ascii="宋体" w:hAnsi="宋体"/>
          <w:sz w:val="30"/>
          <w:szCs w:val="30"/>
        </w:rPr>
        <w:t>京建发〔2018〕</w:t>
      </w:r>
      <w:r>
        <w:rPr>
          <w:rFonts w:hint="eastAsia" w:ascii="宋体" w:hAnsi="宋体"/>
          <w:sz w:val="30"/>
          <w:szCs w:val="30"/>
          <w:lang w:val="en-US" w:eastAsia="zh-CN"/>
        </w:rPr>
        <w:t>397</w:t>
      </w:r>
      <w:r>
        <w:rPr>
          <w:rFonts w:hint="eastAsia" w:ascii="宋体" w:hAnsi="宋体"/>
          <w:sz w:val="30"/>
          <w:szCs w:val="30"/>
        </w:rPr>
        <w:t>号附件</w:t>
      </w: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spacing w:line="480" w:lineRule="auto"/>
        <w:ind w:right="-483" w:rightChars="-230"/>
        <w:jc w:val="center"/>
        <w:rPr>
          <w:rFonts w:ascii="黑体" w:hAnsi="宋体" w:eastAsia="黑体"/>
          <w:sz w:val="52"/>
          <w:szCs w:val="52"/>
        </w:rPr>
      </w:pPr>
      <w:r>
        <w:rPr>
          <w:rFonts w:hint="eastAsia" w:ascii="黑体" w:hAnsi="宋体" w:eastAsia="黑体"/>
          <w:sz w:val="52"/>
          <w:szCs w:val="52"/>
        </w:rPr>
        <w:t>北京市房屋建筑和市政基础设施工程</w:t>
      </w:r>
    </w:p>
    <w:p>
      <w:pPr>
        <w:tabs>
          <w:tab w:val="left" w:pos="142"/>
        </w:tabs>
        <w:spacing w:line="480" w:lineRule="auto"/>
        <w:ind w:right="-483" w:rightChars="-230"/>
        <w:jc w:val="center"/>
        <w:rPr>
          <w:rFonts w:ascii="黑体" w:hAnsi="宋体" w:eastAsia="黑体"/>
          <w:sz w:val="52"/>
          <w:szCs w:val="52"/>
        </w:rPr>
      </w:pPr>
      <w:r>
        <w:rPr>
          <w:rFonts w:hint="eastAsia" w:ascii="黑体" w:hAnsi="宋体" w:eastAsia="黑体"/>
          <w:sz w:val="52"/>
          <w:szCs w:val="52"/>
        </w:rPr>
        <w:t>重大生产安全事故隐患判定导则</w:t>
      </w:r>
    </w:p>
    <w:p>
      <w:pPr>
        <w:tabs>
          <w:tab w:val="left" w:pos="142"/>
        </w:tabs>
        <w:spacing w:line="480" w:lineRule="auto"/>
        <w:ind w:right="-483" w:rightChars="-230"/>
        <w:jc w:val="center"/>
        <w:rPr>
          <w:rFonts w:hint="eastAsia" w:ascii="黑体" w:hAnsi="宋体" w:eastAsia="黑体"/>
          <w:sz w:val="48"/>
          <w:szCs w:val="40"/>
          <w:lang w:eastAsia="zh-CN"/>
        </w:rPr>
      </w:pPr>
      <w:r>
        <w:rPr>
          <w:rFonts w:hint="eastAsia" w:ascii="黑体" w:hAnsi="宋体" w:eastAsia="黑体"/>
          <w:sz w:val="48"/>
          <w:szCs w:val="40"/>
          <w:lang w:eastAsia="zh-CN"/>
        </w:rPr>
        <w:t>（</w:t>
      </w:r>
      <w:r>
        <w:rPr>
          <w:rFonts w:hint="eastAsia" w:ascii="黑体" w:hAnsi="宋体" w:eastAsia="黑体"/>
          <w:sz w:val="48"/>
          <w:szCs w:val="40"/>
          <w:lang w:val="en-US" w:eastAsia="zh-CN"/>
        </w:rPr>
        <w:t>试行</w:t>
      </w:r>
      <w:r>
        <w:rPr>
          <w:rFonts w:hint="eastAsia" w:ascii="黑体" w:hAnsi="宋体" w:eastAsia="黑体"/>
          <w:sz w:val="48"/>
          <w:szCs w:val="40"/>
          <w:lang w:eastAsia="zh-CN"/>
        </w:rPr>
        <w:t>）</w:t>
      </w:r>
    </w:p>
    <w:p>
      <w:pPr>
        <w:tabs>
          <w:tab w:val="left" w:pos="142"/>
        </w:tabs>
        <w:ind w:right="-71" w:rightChars="-34" w:firstLine="630"/>
        <w:rPr>
          <w:rFonts w:ascii="宋体" w:hAnsi="宋体"/>
          <w:sz w:val="32"/>
          <w:szCs w:val="32"/>
        </w:rPr>
      </w:pPr>
    </w:p>
    <w:p>
      <w:pPr>
        <w:tabs>
          <w:tab w:val="left" w:pos="142"/>
        </w:tabs>
        <w:ind w:right="-71" w:rightChars="-34"/>
        <w:jc w:val="center"/>
        <w:rPr>
          <w:rFonts w:ascii="宋体" w:hAnsi="宋体"/>
          <w:sz w:val="32"/>
          <w:szCs w:val="32"/>
        </w:rPr>
      </w:pPr>
      <w:r>
        <w:rPr>
          <w:rFonts w:hint="eastAsia" w:ascii="宋体" w:hAnsi="宋体"/>
          <w:sz w:val="32"/>
          <w:szCs w:val="32"/>
        </w:rPr>
        <w:t xml:space="preserve"> </w:t>
      </w:r>
    </w:p>
    <w:p>
      <w:pPr>
        <w:tabs>
          <w:tab w:val="left" w:pos="142"/>
        </w:tabs>
        <w:ind w:right="-71" w:rightChars="-34" w:firstLine="630"/>
        <w:jc w:val="center"/>
        <w:rPr>
          <w:rFonts w:ascii="宋体" w:hAnsi="宋体"/>
          <w:sz w:val="32"/>
          <w:szCs w:val="32"/>
        </w:rPr>
      </w:pPr>
    </w:p>
    <w:p>
      <w:pPr>
        <w:tabs>
          <w:tab w:val="left" w:pos="142"/>
        </w:tabs>
        <w:ind w:right="-71" w:rightChars="-34"/>
        <w:outlineLvl w:val="0"/>
        <w:rPr>
          <w:rFonts w:ascii="宋体" w:hAnsi="宋体"/>
          <w:sz w:val="32"/>
          <w:szCs w:val="32"/>
        </w:rPr>
      </w:pPr>
      <w:r>
        <w:rPr>
          <w:rFonts w:hint="eastAsia" w:ascii="宋体" w:hAnsi="宋体"/>
          <w:sz w:val="32"/>
          <w:szCs w:val="32"/>
        </w:rPr>
        <w:t xml:space="preserve"> </w:t>
      </w:r>
    </w:p>
    <w:p>
      <w:pPr>
        <w:tabs>
          <w:tab w:val="left" w:pos="142"/>
        </w:tabs>
        <w:ind w:right="-71" w:rightChars="-34"/>
        <w:outlineLvl w:val="0"/>
        <w:rPr>
          <w:rFonts w:ascii="宋体" w:hAnsi="宋体"/>
          <w:sz w:val="32"/>
          <w:szCs w:val="32"/>
        </w:rPr>
      </w:pPr>
    </w:p>
    <w:p>
      <w:pPr>
        <w:tabs>
          <w:tab w:val="left" w:pos="142"/>
        </w:tabs>
        <w:ind w:right="-71" w:rightChars="-34"/>
        <w:outlineLvl w:val="0"/>
        <w:rPr>
          <w:rFonts w:ascii="宋体" w:hAnsi="宋体"/>
          <w:sz w:val="32"/>
          <w:szCs w:val="32"/>
        </w:rPr>
      </w:pPr>
    </w:p>
    <w:p>
      <w:pPr>
        <w:jc w:val="center"/>
        <w:rPr>
          <w:rFonts w:ascii="宋体" w:hAnsi="宋体"/>
          <w:sz w:val="30"/>
          <w:szCs w:val="30"/>
        </w:rPr>
      </w:pPr>
      <w:bookmarkStart w:id="4" w:name="_Toc436918703"/>
      <w:r>
        <w:rPr>
          <w:rFonts w:hint="eastAsia" w:ascii="宋体" w:hAnsi="宋体"/>
          <w:sz w:val="30"/>
          <w:szCs w:val="30"/>
        </w:rPr>
        <w:t>二〇一八年</w:t>
      </w:r>
      <w:r>
        <w:rPr>
          <w:rFonts w:hint="eastAsia" w:ascii="宋体" w:hAnsi="宋体"/>
          <w:sz w:val="30"/>
          <w:szCs w:val="30"/>
          <w:lang w:val="en-US" w:eastAsia="zh-CN"/>
        </w:rPr>
        <w:t>八</w:t>
      </w:r>
      <w:r>
        <w:rPr>
          <w:rFonts w:hint="eastAsia" w:ascii="宋体" w:hAnsi="宋体"/>
          <w:sz w:val="30"/>
          <w:szCs w:val="30"/>
        </w:rPr>
        <w:t>月</w:t>
      </w:r>
      <w:r>
        <w:rPr>
          <w:rFonts w:hint="eastAsia" w:ascii="宋体" w:hAnsi="宋体"/>
          <w:sz w:val="30"/>
          <w:szCs w:val="30"/>
          <w:lang w:val="en-US" w:eastAsia="zh-CN"/>
        </w:rPr>
        <w:t>二十</w:t>
      </w:r>
      <w:r>
        <w:rPr>
          <w:rFonts w:hint="eastAsia" w:ascii="宋体" w:hAnsi="宋体"/>
          <w:sz w:val="30"/>
          <w:szCs w:val="30"/>
        </w:rPr>
        <w:t>日</w:t>
      </w:r>
      <w:bookmarkEnd w:id="4"/>
    </w:p>
    <w:p>
      <w:pPr>
        <w:jc w:val="center"/>
        <w:rPr>
          <w:rFonts w:ascii="宋体" w:hAnsi="宋体"/>
          <w:sz w:val="30"/>
          <w:szCs w:val="30"/>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hint="eastAsia" w:ascii="宋体" w:hAnsi="宋体"/>
          <w:b/>
          <w:sz w:val="32"/>
          <w:szCs w:val="32"/>
        </w:rPr>
      </w:pPr>
    </w:p>
    <w:p>
      <w:pPr>
        <w:pStyle w:val="9"/>
        <w:tabs>
          <w:tab w:val="left" w:pos="142"/>
        </w:tabs>
        <w:spacing w:line="400" w:lineRule="exact"/>
        <w:ind w:right="-71" w:rightChars="-34"/>
        <w:jc w:val="center"/>
        <w:rPr>
          <w:rFonts w:hint="eastAsia" w:ascii="宋体" w:hAnsi="宋体"/>
          <w:b/>
          <w:sz w:val="32"/>
          <w:szCs w:val="32"/>
        </w:rPr>
        <w:sectPr>
          <w:pgSz w:w="11906" w:h="16838"/>
          <w:pgMar w:top="1440" w:right="1797" w:bottom="935" w:left="1797" w:header="851" w:footer="992" w:gutter="0"/>
          <w:pgNumType w:fmt="numberInDash" w:start="1"/>
          <w:cols w:space="720" w:num="1"/>
          <w:docGrid w:type="lines" w:linePitch="312" w:charSpace="0"/>
        </w:sectPr>
      </w:pPr>
    </w:p>
    <w:p>
      <w:pPr>
        <w:pStyle w:val="9"/>
        <w:tabs>
          <w:tab w:val="left" w:pos="142"/>
        </w:tabs>
        <w:spacing w:line="400" w:lineRule="exact"/>
        <w:ind w:right="-71" w:rightChars="-34"/>
        <w:jc w:val="center"/>
        <w:rPr>
          <w:rFonts w:ascii="宋体" w:hAnsi="宋体"/>
          <w:b/>
          <w:sz w:val="32"/>
          <w:szCs w:val="32"/>
        </w:rPr>
      </w:pPr>
      <w:r>
        <w:rPr>
          <w:rFonts w:hint="eastAsia" w:ascii="宋体" w:hAnsi="宋体"/>
          <w:b/>
          <w:sz w:val="32"/>
          <w:szCs w:val="32"/>
        </w:rPr>
        <w:t>前    言</w:t>
      </w:r>
    </w:p>
    <w:p>
      <w:pPr>
        <w:pStyle w:val="9"/>
        <w:tabs>
          <w:tab w:val="left" w:pos="142"/>
        </w:tabs>
        <w:spacing w:line="400" w:lineRule="exact"/>
        <w:ind w:right="-71" w:rightChars="-34"/>
        <w:rPr>
          <w:rFonts w:ascii="宋体" w:hAnsi="宋体"/>
          <w:b/>
          <w:sz w:val="28"/>
          <w:szCs w:val="28"/>
        </w:rPr>
      </w:pP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根据北京市住房和城乡建设委员会双重预防控制体系建设的总体工作部署，为进一步强化安全生产主体责任，加强重大生产安全事故隐患管理，防止和减少较大及以上级别生产安全事故，为北京市建设工程施工现场重大生产安全事故隐患的分级和管控提供参考依据。本导则编制组经广泛调查研究，认真总结实践经验，参考有关工程建设标准规范，并在广泛征求意见的基础上，制订本导则。</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本导则主要内容</w:t>
      </w:r>
      <w:r>
        <w:rPr>
          <w:rFonts w:hint="eastAsia" w:ascii="宋体" w:hAnsi="宋体"/>
          <w:bCs/>
          <w:sz w:val="24"/>
        </w:rPr>
        <w:t>：1总则；2术语；3基本规定；4房屋建筑工程</w:t>
      </w:r>
      <w:r>
        <w:rPr>
          <w:rFonts w:hint="eastAsia" w:ascii="宋体" w:hAnsi="宋体"/>
          <w:bCs/>
          <w:sz w:val="24"/>
          <w:lang w:eastAsia="zh-CN"/>
        </w:rPr>
        <w:t>重大生产安全事故隐患</w:t>
      </w:r>
      <w:r>
        <w:rPr>
          <w:rFonts w:hint="eastAsia" w:ascii="宋体" w:hAnsi="宋体"/>
          <w:bCs/>
          <w:sz w:val="24"/>
        </w:rPr>
        <w:t>；5市政基础设施工程</w:t>
      </w:r>
      <w:r>
        <w:rPr>
          <w:rFonts w:hint="eastAsia" w:ascii="宋体" w:hAnsi="宋体"/>
          <w:bCs/>
          <w:sz w:val="24"/>
          <w:lang w:eastAsia="zh-CN"/>
        </w:rPr>
        <w:t>重大生产安全事故隐患</w:t>
      </w:r>
      <w:r>
        <w:rPr>
          <w:rFonts w:hint="eastAsia" w:ascii="宋体" w:hAnsi="宋体"/>
          <w:bCs/>
          <w:sz w:val="24"/>
        </w:rPr>
        <w:t>；6</w:t>
      </w:r>
      <w:r>
        <w:rPr>
          <w:rFonts w:hint="eastAsia" w:ascii="宋体" w:hAnsi="宋体"/>
          <w:bCs/>
          <w:sz w:val="24"/>
          <w:lang w:eastAsia="zh-CN"/>
        </w:rPr>
        <w:t>城市</w:t>
      </w:r>
      <w:r>
        <w:rPr>
          <w:rFonts w:hint="eastAsia" w:ascii="宋体" w:hAnsi="宋体"/>
          <w:bCs/>
          <w:sz w:val="24"/>
        </w:rPr>
        <w:t>轨道交通工程</w:t>
      </w:r>
      <w:r>
        <w:rPr>
          <w:rFonts w:hint="eastAsia" w:ascii="宋体" w:hAnsi="宋体"/>
          <w:bCs/>
          <w:sz w:val="24"/>
          <w:lang w:eastAsia="zh-CN"/>
        </w:rPr>
        <w:t>重大生产安全事故隐患</w:t>
      </w:r>
      <w:r>
        <w:rPr>
          <w:rFonts w:hint="eastAsia" w:ascii="宋体" w:hAnsi="宋体"/>
          <w:bCs/>
          <w:sz w:val="24"/>
        </w:rPr>
        <w:t>；7拆除工程</w:t>
      </w:r>
      <w:r>
        <w:rPr>
          <w:rFonts w:hint="eastAsia" w:ascii="宋体" w:hAnsi="宋体"/>
          <w:bCs/>
          <w:sz w:val="24"/>
          <w:lang w:eastAsia="zh-CN"/>
        </w:rPr>
        <w:t>重大生产安全事故隐患</w:t>
      </w:r>
      <w:r>
        <w:rPr>
          <w:rFonts w:hint="eastAsia" w:ascii="宋体" w:hAnsi="宋体"/>
          <w:bCs/>
          <w:sz w:val="24"/>
        </w:rPr>
        <w:t>。</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本导则由北京市住房和城乡建设委员会负责管理和具体</w:t>
      </w:r>
      <w:r>
        <w:rPr>
          <w:rFonts w:hint="eastAsia" w:ascii="宋体" w:hAnsi="宋体"/>
          <w:bCs/>
          <w:sz w:val="24"/>
        </w:rPr>
        <w:t>条文</w:t>
      </w:r>
      <w:r>
        <w:rPr>
          <w:rFonts w:ascii="宋体" w:hAnsi="宋体"/>
          <w:bCs/>
          <w:sz w:val="24"/>
        </w:rPr>
        <w:t>内容解释</w:t>
      </w:r>
      <w:r>
        <w:rPr>
          <w:rFonts w:hint="eastAsia" w:ascii="宋体" w:hAnsi="宋体"/>
          <w:bCs/>
          <w:sz w:val="24"/>
        </w:rPr>
        <w:t>。</w:t>
      </w: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本导则首次编制，部分术语及条款根据施工经验及事故教训总结归纳，执行过程中如有意见或建议，请寄送至</w:t>
      </w:r>
      <w:r>
        <w:rPr>
          <w:rFonts w:ascii="宋体" w:hAnsi="宋体"/>
          <w:bCs/>
          <w:sz w:val="24"/>
        </w:rPr>
        <w:t>北京市住房和城乡建设委员会</w:t>
      </w:r>
      <w:r>
        <w:rPr>
          <w:rFonts w:hint="eastAsia" w:ascii="宋体" w:hAnsi="宋体"/>
          <w:bCs/>
          <w:sz w:val="24"/>
        </w:rPr>
        <w:t>。（地址：北京市海淀区西四环中路16号院3号楼，邮政编码：100039）</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本导则主编单位</w:t>
      </w:r>
      <w:r>
        <w:rPr>
          <w:rFonts w:hint="eastAsia" w:ascii="宋体" w:hAnsi="宋体"/>
          <w:bCs/>
          <w:sz w:val="24"/>
        </w:rPr>
        <w:t>：北京市</w:t>
      </w:r>
      <w:r>
        <w:rPr>
          <w:rFonts w:ascii="宋体" w:hAnsi="宋体"/>
          <w:bCs/>
          <w:sz w:val="24"/>
        </w:rPr>
        <w:t>住房和城乡建设委员会</w:t>
      </w: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本导则参编单位：北京城建集团有限责任公司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北京建工集团有限责任公司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北京住总集团有限责任公司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北京市政建设集团有限责任公司</w:t>
      </w:r>
    </w:p>
    <w:p>
      <w:pPr>
        <w:tabs>
          <w:tab w:val="left" w:pos="142"/>
        </w:tabs>
        <w:spacing w:line="400" w:lineRule="exact"/>
        <w:ind w:right="-71" w:rightChars="-34" w:firstLine="2409" w:firstLineChars="1004"/>
        <w:rPr>
          <w:rFonts w:hint="eastAsia" w:ascii="宋体" w:hAnsi="宋体"/>
          <w:bCs/>
          <w:sz w:val="24"/>
        </w:rPr>
      </w:pPr>
      <w:r>
        <w:rPr>
          <w:rFonts w:hint="eastAsia" w:ascii="宋体" w:hAnsi="宋体"/>
          <w:bCs/>
          <w:sz w:val="24"/>
        </w:rPr>
        <w:t>北京市轨道交通管理有限公司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中国建筑一局（集团）有限公司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中国建筑第二工程局有限公司</w:t>
      </w:r>
      <w:bookmarkStart w:id="131" w:name="_GoBack"/>
      <w:bookmarkEnd w:id="131"/>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中国建筑第八工程局有限公司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中铁建设集团有限公司</w:t>
      </w:r>
    </w:p>
    <w:p>
      <w:pPr>
        <w:tabs>
          <w:tab w:val="left" w:pos="142"/>
        </w:tabs>
        <w:spacing w:line="400" w:lineRule="exact"/>
        <w:ind w:right="-71" w:rightChars="-34" w:firstLine="480" w:firstLineChars="200"/>
        <w:rPr>
          <w:rFonts w:hint="eastAsia" w:ascii="宋体" w:hAnsi="宋体"/>
          <w:bCs/>
          <w:sz w:val="24"/>
          <w:lang w:val="en-US" w:eastAsia="zh-CN"/>
        </w:rPr>
      </w:pPr>
      <w:r>
        <w:rPr>
          <w:rFonts w:hint="eastAsia" w:ascii="宋体" w:hAnsi="宋体"/>
          <w:bCs/>
          <w:sz w:val="24"/>
        </w:rPr>
        <w:t>本导则主要起草人员：王  鑫 凌振军 石向东 魏吉祥</w:t>
      </w:r>
      <w:r>
        <w:rPr>
          <w:rFonts w:hint="eastAsia" w:ascii="宋体" w:hAnsi="宋体"/>
          <w:bCs/>
          <w:sz w:val="24"/>
          <w:lang w:val="en-US" w:eastAsia="zh-CN"/>
        </w:rPr>
        <w:t xml:space="preserve"> </w:t>
      </w:r>
      <w:r>
        <w:rPr>
          <w:rFonts w:hint="eastAsia" w:ascii="宋体" w:hAnsi="宋体"/>
          <w:bCs/>
          <w:sz w:val="24"/>
        </w:rPr>
        <w:t xml:space="preserve">姚中才 </w:t>
      </w:r>
      <w:r>
        <w:rPr>
          <w:rFonts w:hint="eastAsia" w:ascii="宋体" w:hAnsi="宋体"/>
          <w:bCs/>
          <w:sz w:val="24"/>
          <w:lang w:val="en-US" w:eastAsia="zh-CN"/>
        </w:rPr>
        <w:t>刘天正</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王伟超</w:t>
      </w:r>
      <w:r>
        <w:rPr>
          <w:rFonts w:hint="eastAsia" w:ascii="宋体" w:hAnsi="宋体"/>
          <w:bCs/>
          <w:sz w:val="24"/>
          <w:lang w:val="en-US" w:eastAsia="zh-CN"/>
        </w:rPr>
        <w:t xml:space="preserve"> </w:t>
      </w:r>
      <w:r>
        <w:rPr>
          <w:rFonts w:hint="eastAsia" w:ascii="宋体" w:hAnsi="宋体"/>
          <w:bCs/>
          <w:sz w:val="24"/>
        </w:rPr>
        <w:t>王安邦</w:t>
      </w:r>
      <w:r>
        <w:rPr>
          <w:rFonts w:hint="eastAsia" w:ascii="宋体" w:hAnsi="宋体"/>
          <w:bCs/>
          <w:sz w:val="24"/>
          <w:lang w:val="en-US" w:eastAsia="zh-CN"/>
        </w:rPr>
        <w:t xml:space="preserve"> </w:t>
      </w:r>
      <w:r>
        <w:rPr>
          <w:rFonts w:hint="eastAsia" w:ascii="宋体" w:hAnsi="宋体"/>
          <w:bCs/>
          <w:sz w:val="24"/>
        </w:rPr>
        <w:t>解金箭 卢希峰 张广宇</w:t>
      </w:r>
      <w:r>
        <w:rPr>
          <w:rFonts w:hint="eastAsia" w:ascii="宋体" w:hAnsi="宋体"/>
          <w:bCs/>
          <w:sz w:val="24"/>
          <w:lang w:val="en-US" w:eastAsia="zh-CN"/>
        </w:rPr>
        <w:t xml:space="preserve"> </w:t>
      </w:r>
      <w:r>
        <w:rPr>
          <w:rFonts w:hint="eastAsia" w:ascii="宋体" w:hAnsi="宋体"/>
          <w:bCs/>
          <w:sz w:val="24"/>
        </w:rPr>
        <w:t>严玉材</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任  欢</w:t>
      </w:r>
      <w:r>
        <w:rPr>
          <w:rFonts w:hint="eastAsia" w:ascii="宋体" w:hAnsi="宋体"/>
          <w:bCs/>
          <w:sz w:val="24"/>
          <w:lang w:val="en-US" w:eastAsia="zh-CN"/>
        </w:rPr>
        <w:t xml:space="preserve"> </w:t>
      </w:r>
      <w:r>
        <w:rPr>
          <w:rFonts w:hint="eastAsia" w:ascii="宋体" w:hAnsi="宋体"/>
          <w:bCs/>
          <w:sz w:val="24"/>
        </w:rPr>
        <w:t>段鹏俊 刘卫权 刘天军 陈燕鹏</w:t>
      </w:r>
      <w:r>
        <w:rPr>
          <w:rFonts w:hint="eastAsia" w:ascii="宋体" w:hAnsi="宋体"/>
          <w:bCs/>
          <w:sz w:val="24"/>
          <w:lang w:val="en-US" w:eastAsia="zh-CN"/>
        </w:rPr>
        <w:t xml:space="preserve"> </w:t>
      </w:r>
      <w:r>
        <w:rPr>
          <w:rFonts w:hint="eastAsia" w:ascii="宋体" w:hAnsi="宋体"/>
          <w:bCs/>
          <w:sz w:val="24"/>
        </w:rPr>
        <w:t xml:space="preserve">王维宇 </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 xml:space="preserve">王维军 </w:t>
      </w:r>
      <w:r>
        <w:rPr>
          <w:rFonts w:hint="eastAsia" w:ascii="宋体" w:hAnsi="宋体"/>
          <w:bCs/>
          <w:sz w:val="24"/>
          <w:lang w:val="en-US" w:eastAsia="zh-CN"/>
        </w:rPr>
        <w:t xml:space="preserve">童  松 王  霆 </w:t>
      </w:r>
      <w:r>
        <w:rPr>
          <w:rFonts w:hint="eastAsia" w:ascii="宋体" w:hAnsi="宋体"/>
          <w:bCs/>
          <w:sz w:val="24"/>
        </w:rPr>
        <w:t xml:space="preserve">徐海峰 王海波 孙海东 </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姜  淼</w:t>
      </w:r>
      <w:r>
        <w:rPr>
          <w:rFonts w:hint="eastAsia" w:ascii="宋体" w:hAnsi="宋体"/>
          <w:bCs/>
          <w:sz w:val="24"/>
          <w:lang w:val="en-US" w:eastAsia="zh-CN"/>
        </w:rPr>
        <w:t xml:space="preserve"> </w:t>
      </w:r>
      <w:r>
        <w:rPr>
          <w:rFonts w:hint="eastAsia" w:ascii="宋体" w:hAnsi="宋体"/>
          <w:bCs/>
          <w:sz w:val="24"/>
        </w:rPr>
        <w:t>赵秀丽 尹仕辽 王  朝 纪绍祥</w:t>
      </w:r>
      <w:r>
        <w:rPr>
          <w:rFonts w:hint="eastAsia" w:ascii="宋体" w:hAnsi="宋体"/>
          <w:bCs/>
          <w:sz w:val="24"/>
          <w:lang w:val="en-US" w:eastAsia="zh-CN"/>
        </w:rPr>
        <w:t xml:space="preserve"> </w:t>
      </w:r>
      <w:r>
        <w:rPr>
          <w:rFonts w:hint="eastAsia" w:ascii="宋体" w:hAnsi="宋体"/>
          <w:bCs/>
          <w:sz w:val="24"/>
        </w:rPr>
        <w:t>王经洋</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董  鹏</w:t>
      </w:r>
      <w:r>
        <w:rPr>
          <w:rFonts w:hint="eastAsia" w:ascii="宋体" w:hAnsi="宋体"/>
          <w:bCs/>
          <w:sz w:val="24"/>
          <w:lang w:val="en-US" w:eastAsia="zh-CN"/>
        </w:rPr>
        <w:t xml:space="preserve"> </w:t>
      </w:r>
      <w:r>
        <w:rPr>
          <w:rFonts w:hint="eastAsia" w:ascii="宋体" w:hAnsi="宋体"/>
          <w:bCs/>
          <w:sz w:val="24"/>
        </w:rPr>
        <w:t>曾庆江 黄  磊 李  飓</w:t>
      </w:r>
      <w:r>
        <w:rPr>
          <w:rFonts w:hint="eastAsia" w:ascii="宋体" w:hAnsi="宋体"/>
          <w:bCs/>
          <w:sz w:val="24"/>
          <w:lang w:val="en-US" w:eastAsia="zh-CN"/>
        </w:rPr>
        <w:t xml:space="preserve"> </w:t>
      </w:r>
      <w:r>
        <w:rPr>
          <w:rFonts w:hint="eastAsia" w:ascii="宋体" w:hAnsi="宋体"/>
          <w:bCs/>
          <w:sz w:val="24"/>
        </w:rPr>
        <w:t>刘文政</w:t>
      </w:r>
      <w:r>
        <w:rPr>
          <w:rFonts w:hint="eastAsia" w:ascii="宋体" w:hAnsi="宋体"/>
          <w:bCs/>
          <w:sz w:val="24"/>
          <w:lang w:val="en-US" w:eastAsia="zh-CN"/>
        </w:rPr>
        <w:t xml:space="preserve"> </w:t>
      </w:r>
      <w:r>
        <w:rPr>
          <w:rFonts w:hint="eastAsia" w:ascii="宋体" w:hAnsi="宋体"/>
          <w:bCs/>
          <w:sz w:val="24"/>
        </w:rPr>
        <w:t>李振兴</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岳  杰</w:t>
      </w:r>
      <w:r>
        <w:rPr>
          <w:rFonts w:hint="eastAsia" w:ascii="宋体" w:hAnsi="宋体"/>
          <w:bCs/>
          <w:sz w:val="24"/>
          <w:lang w:val="en-US" w:eastAsia="zh-CN"/>
        </w:rPr>
        <w:t xml:space="preserve"> </w:t>
      </w:r>
      <w:r>
        <w:rPr>
          <w:rFonts w:hint="eastAsia" w:ascii="宋体" w:hAnsi="宋体"/>
          <w:bCs/>
          <w:sz w:val="24"/>
        </w:rPr>
        <w:t>蔡绍江</w:t>
      </w:r>
      <w:r>
        <w:rPr>
          <w:rFonts w:hint="eastAsia" w:ascii="宋体" w:hAnsi="宋体"/>
          <w:bCs/>
          <w:sz w:val="24"/>
          <w:lang w:val="en-US" w:eastAsia="zh-CN"/>
        </w:rPr>
        <w:t xml:space="preserve"> </w:t>
      </w:r>
      <w:r>
        <w:rPr>
          <w:rFonts w:hint="eastAsia" w:ascii="宋体" w:hAnsi="宋体"/>
          <w:bCs/>
          <w:sz w:val="24"/>
        </w:rPr>
        <w:t>吴  峰 高永虎 陈娜娜 史洪涛</w:t>
      </w:r>
    </w:p>
    <w:p>
      <w:pPr>
        <w:tabs>
          <w:tab w:val="left" w:pos="142"/>
        </w:tabs>
        <w:spacing w:line="400" w:lineRule="exact"/>
        <w:ind w:right="-71" w:rightChars="-34" w:firstLine="2834" w:firstLineChars="1181"/>
        <w:rPr>
          <w:rFonts w:ascii="宋体" w:hAnsi="宋体"/>
          <w:bCs/>
          <w:sz w:val="24"/>
        </w:rPr>
      </w:pPr>
      <w:r>
        <w:rPr>
          <w:rFonts w:hint="eastAsia" w:ascii="宋体" w:hAnsi="宋体"/>
          <w:bCs/>
          <w:sz w:val="24"/>
        </w:rPr>
        <w:t>于  剑</w:t>
      </w:r>
      <w:r>
        <w:rPr>
          <w:rFonts w:hint="eastAsia" w:ascii="宋体" w:hAnsi="宋体"/>
          <w:bCs/>
          <w:sz w:val="24"/>
          <w:lang w:val="en-US" w:eastAsia="zh-CN"/>
        </w:rPr>
        <w:t xml:space="preserve"> </w:t>
      </w:r>
      <w:r>
        <w:rPr>
          <w:rFonts w:hint="eastAsia" w:ascii="宋体" w:hAnsi="宋体"/>
          <w:bCs/>
          <w:sz w:val="24"/>
        </w:rPr>
        <w:t xml:space="preserve">魏  巍 张罗鹏 孙  荻 蔡  斌 洪少炜 </w:t>
      </w:r>
    </w:p>
    <w:p>
      <w:pPr>
        <w:tabs>
          <w:tab w:val="left" w:pos="142"/>
        </w:tabs>
        <w:spacing w:line="400" w:lineRule="exact"/>
        <w:ind w:right="-71" w:rightChars="-34" w:firstLine="480" w:firstLineChars="200"/>
        <w:rPr>
          <w:rFonts w:hint="eastAsia" w:ascii="宋体" w:hAnsi="宋体" w:eastAsia="宋体"/>
          <w:bCs/>
          <w:sz w:val="24"/>
          <w:lang w:val="en-US" w:eastAsia="zh-CN"/>
        </w:rPr>
      </w:pPr>
      <w:r>
        <w:rPr>
          <w:rFonts w:hint="eastAsia" w:ascii="宋体" w:hAnsi="宋体"/>
          <w:bCs/>
          <w:sz w:val="24"/>
        </w:rPr>
        <w:t>本导则主要审查人员：</w:t>
      </w:r>
      <w:r>
        <w:rPr>
          <w:rFonts w:hint="eastAsia" w:ascii="宋体" w:hAnsi="宋体"/>
          <w:bCs/>
          <w:sz w:val="24"/>
          <w:lang w:val="en-US" w:eastAsia="zh-CN"/>
        </w:rPr>
        <w:t>陈红 雷丽英 杨金峰 姚斌 高建彬 介滟 霍立新</w:t>
      </w:r>
    </w:p>
    <w:p>
      <w:pPr>
        <w:tabs>
          <w:tab w:val="left" w:pos="142"/>
        </w:tabs>
        <w:ind w:right="-71" w:rightChars="-34"/>
        <w:jc w:val="center"/>
        <w:rPr>
          <w:rStyle w:val="32"/>
          <w:rFonts w:hint="eastAsia" w:ascii="宋体" w:hAnsi="宋体"/>
          <w:b/>
          <w:color w:val="000000"/>
          <w:sz w:val="32"/>
          <w:szCs w:val="32"/>
        </w:rPr>
      </w:pPr>
    </w:p>
    <w:p>
      <w:pPr>
        <w:tabs>
          <w:tab w:val="left" w:pos="142"/>
        </w:tabs>
        <w:ind w:right="-71" w:rightChars="-34"/>
        <w:jc w:val="center"/>
        <w:rPr>
          <w:rStyle w:val="32"/>
          <w:rFonts w:hint="eastAsia" w:ascii="宋体" w:hAnsi="宋体"/>
          <w:b/>
          <w:color w:val="000000"/>
          <w:sz w:val="32"/>
          <w:szCs w:val="32"/>
          <w:u w:val="none"/>
        </w:rPr>
        <w:sectPr>
          <w:footerReference r:id="rId3" w:type="default"/>
          <w:pgSz w:w="11906" w:h="16838"/>
          <w:pgMar w:top="1440" w:right="1797" w:bottom="935" w:left="1797" w:header="851" w:footer="992" w:gutter="0"/>
          <w:pgNumType w:fmt="numberInDash" w:start="1"/>
          <w:cols w:space="720" w:num="1"/>
          <w:docGrid w:type="lines" w:linePitch="312" w:charSpace="0"/>
        </w:sectPr>
      </w:pPr>
    </w:p>
    <w:p>
      <w:pPr>
        <w:tabs>
          <w:tab w:val="left" w:pos="142"/>
        </w:tabs>
        <w:ind w:right="-71" w:rightChars="-34"/>
        <w:jc w:val="center"/>
        <w:rPr>
          <w:rStyle w:val="32"/>
          <w:rFonts w:ascii="宋体" w:hAnsi="宋体"/>
          <w:b/>
          <w:color w:val="000000"/>
          <w:sz w:val="32"/>
          <w:szCs w:val="32"/>
          <w:u w:val="none"/>
        </w:rPr>
      </w:pPr>
      <w:r>
        <w:rPr>
          <w:rStyle w:val="32"/>
          <w:rFonts w:hint="eastAsia" w:ascii="宋体" w:hAnsi="宋体"/>
          <w:b/>
          <w:color w:val="000000"/>
          <w:sz w:val="32"/>
          <w:szCs w:val="32"/>
          <w:u w:val="none"/>
        </w:rPr>
        <w:t>目  录</w:t>
      </w:r>
    </w:p>
    <w:p>
      <w:pPr>
        <w:pStyle w:val="23"/>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_Toc14438 </w:instrText>
      </w:r>
      <w:r>
        <w:fldChar w:fldCharType="separate"/>
      </w:r>
      <w:r>
        <w:t>1  总</w:t>
      </w:r>
      <w:r>
        <w:rPr>
          <w:rFonts w:hint="eastAsia"/>
          <w:lang w:eastAsia="zh-CN"/>
        </w:rPr>
        <w:t xml:space="preserve">  </w:t>
      </w:r>
      <w:r>
        <w:t>则</w:t>
      </w:r>
      <w:r>
        <w:tab/>
      </w:r>
      <w:r>
        <w:fldChar w:fldCharType="begin"/>
      </w:r>
      <w:r>
        <w:instrText xml:space="preserve"> PAGEREF _Toc14438 </w:instrText>
      </w:r>
      <w:r>
        <w:fldChar w:fldCharType="separate"/>
      </w:r>
      <w:r>
        <w:t>1</w:t>
      </w:r>
      <w:r>
        <w:fldChar w:fldCharType="end"/>
      </w:r>
      <w:r>
        <w:fldChar w:fldCharType="end"/>
      </w:r>
    </w:p>
    <w:p>
      <w:pPr>
        <w:pStyle w:val="23"/>
      </w:pPr>
      <w:r>
        <w:fldChar w:fldCharType="begin"/>
      </w:r>
      <w:r>
        <w:instrText xml:space="preserve"> HYPERLINK \l _Toc27438 </w:instrText>
      </w:r>
      <w:r>
        <w:fldChar w:fldCharType="separate"/>
      </w:r>
      <w:r>
        <w:t>2  术</w:t>
      </w:r>
      <w:r>
        <w:rPr>
          <w:rFonts w:hint="eastAsia"/>
          <w:lang w:eastAsia="zh-CN"/>
        </w:rPr>
        <w:t xml:space="preserve">  </w:t>
      </w:r>
      <w:r>
        <w:t>语</w:t>
      </w:r>
      <w:r>
        <w:tab/>
      </w:r>
      <w:r>
        <w:fldChar w:fldCharType="begin"/>
      </w:r>
      <w:r>
        <w:instrText xml:space="preserve"> PAGEREF _Toc27438 </w:instrText>
      </w:r>
      <w:r>
        <w:fldChar w:fldCharType="separate"/>
      </w:r>
      <w:r>
        <w:t>2</w:t>
      </w:r>
      <w:r>
        <w:fldChar w:fldCharType="end"/>
      </w:r>
      <w:r>
        <w:fldChar w:fldCharType="end"/>
      </w:r>
    </w:p>
    <w:p>
      <w:pPr>
        <w:pStyle w:val="23"/>
      </w:pPr>
      <w:r>
        <w:fldChar w:fldCharType="begin"/>
      </w:r>
      <w:r>
        <w:instrText xml:space="preserve"> HYPERLINK \l _Toc5530 </w:instrText>
      </w:r>
      <w:r>
        <w:fldChar w:fldCharType="separate"/>
      </w:r>
      <w:r>
        <w:t>3  基本</w:t>
      </w:r>
      <w:r>
        <w:rPr>
          <w:rFonts w:hint="eastAsia"/>
          <w:lang w:val="en-US" w:eastAsia="zh-CN"/>
        </w:rPr>
        <w:t>条款</w:t>
      </w:r>
      <w:r>
        <w:tab/>
      </w:r>
      <w:r>
        <w:fldChar w:fldCharType="begin"/>
      </w:r>
      <w:r>
        <w:instrText xml:space="preserve"> PAGEREF _Toc5530 </w:instrText>
      </w:r>
      <w:r>
        <w:fldChar w:fldCharType="separate"/>
      </w:r>
      <w:r>
        <w:t>4</w:t>
      </w:r>
      <w:r>
        <w:fldChar w:fldCharType="end"/>
      </w:r>
      <w:r>
        <w:fldChar w:fldCharType="end"/>
      </w:r>
    </w:p>
    <w:p>
      <w:pPr>
        <w:pStyle w:val="23"/>
      </w:pPr>
      <w:r>
        <w:fldChar w:fldCharType="begin"/>
      </w:r>
      <w:r>
        <w:instrText xml:space="preserve"> HYPERLINK \l _Toc25404 </w:instrText>
      </w:r>
      <w:r>
        <w:fldChar w:fldCharType="separate"/>
      </w:r>
      <w:r>
        <w:t xml:space="preserve">4  </w:t>
      </w:r>
      <w:r>
        <w:rPr>
          <w:rFonts w:hint="eastAsia"/>
        </w:rPr>
        <w:t>房屋建筑工程</w:t>
      </w:r>
      <w:r>
        <w:rPr>
          <w:rFonts w:hint="eastAsia"/>
          <w:lang w:eastAsia="zh-CN"/>
        </w:rPr>
        <w:t>重大生产安全事故隐患</w:t>
      </w:r>
      <w:r>
        <w:tab/>
      </w:r>
      <w:r>
        <w:fldChar w:fldCharType="begin"/>
      </w:r>
      <w:r>
        <w:instrText xml:space="preserve"> PAGEREF _Toc25404 </w:instrText>
      </w:r>
      <w:r>
        <w:fldChar w:fldCharType="separate"/>
      </w:r>
      <w:r>
        <w:t>5</w:t>
      </w:r>
      <w:r>
        <w:fldChar w:fldCharType="end"/>
      </w:r>
      <w:r>
        <w:fldChar w:fldCharType="end"/>
      </w:r>
    </w:p>
    <w:p>
      <w:pPr>
        <w:pStyle w:val="23"/>
      </w:pPr>
      <w:r>
        <w:fldChar w:fldCharType="begin"/>
      </w:r>
      <w:r>
        <w:instrText xml:space="preserve"> HYPERLINK \l _Toc5143 </w:instrText>
      </w:r>
      <w:r>
        <w:fldChar w:fldCharType="separate"/>
      </w:r>
      <w:r>
        <w:t>4.1</w:t>
      </w:r>
      <w:r>
        <w:rPr>
          <w:rFonts w:hint="eastAsia"/>
        </w:rPr>
        <w:t xml:space="preserve">  基坑工程</w:t>
      </w:r>
      <w:r>
        <w:tab/>
      </w:r>
      <w:r>
        <w:fldChar w:fldCharType="begin"/>
      </w:r>
      <w:r>
        <w:instrText xml:space="preserve"> PAGEREF _Toc5143 </w:instrText>
      </w:r>
      <w:r>
        <w:fldChar w:fldCharType="separate"/>
      </w:r>
      <w:r>
        <w:t>5</w:t>
      </w:r>
      <w:r>
        <w:fldChar w:fldCharType="end"/>
      </w:r>
      <w:r>
        <w:fldChar w:fldCharType="end"/>
      </w:r>
    </w:p>
    <w:p>
      <w:pPr>
        <w:pStyle w:val="23"/>
      </w:pPr>
      <w:r>
        <w:fldChar w:fldCharType="begin"/>
      </w:r>
      <w:r>
        <w:instrText xml:space="preserve"> HYPERLINK \l _Toc29430 </w:instrText>
      </w:r>
      <w:r>
        <w:fldChar w:fldCharType="separate"/>
      </w:r>
      <w:r>
        <w:t>4.2</w:t>
      </w:r>
      <w:r>
        <w:rPr>
          <w:rFonts w:hint="eastAsia"/>
        </w:rPr>
        <w:t xml:space="preserve">  模架工程</w:t>
      </w:r>
      <w:r>
        <w:tab/>
      </w:r>
      <w:r>
        <w:fldChar w:fldCharType="begin"/>
      </w:r>
      <w:r>
        <w:instrText xml:space="preserve"> PAGEREF _Toc29430 </w:instrText>
      </w:r>
      <w:r>
        <w:fldChar w:fldCharType="separate"/>
      </w:r>
      <w:r>
        <w:t>5</w:t>
      </w:r>
      <w:r>
        <w:fldChar w:fldCharType="end"/>
      </w:r>
      <w:r>
        <w:fldChar w:fldCharType="end"/>
      </w:r>
    </w:p>
    <w:p>
      <w:pPr>
        <w:pStyle w:val="23"/>
      </w:pPr>
      <w:r>
        <w:fldChar w:fldCharType="begin"/>
      </w:r>
      <w:r>
        <w:instrText xml:space="preserve"> HYPERLINK \l _Toc1526 </w:instrText>
      </w:r>
      <w:r>
        <w:fldChar w:fldCharType="separate"/>
      </w:r>
      <w:r>
        <w:t>4.3</w:t>
      </w:r>
      <w:r>
        <w:rPr>
          <w:rFonts w:hint="eastAsia"/>
        </w:rPr>
        <w:t xml:space="preserve">  脚手架工程</w:t>
      </w:r>
      <w:r>
        <w:tab/>
      </w:r>
      <w:r>
        <w:fldChar w:fldCharType="begin"/>
      </w:r>
      <w:r>
        <w:instrText xml:space="preserve"> PAGEREF _Toc1526 </w:instrText>
      </w:r>
      <w:r>
        <w:fldChar w:fldCharType="separate"/>
      </w:r>
      <w:r>
        <w:t>5</w:t>
      </w:r>
      <w:r>
        <w:fldChar w:fldCharType="end"/>
      </w:r>
      <w:r>
        <w:fldChar w:fldCharType="end"/>
      </w:r>
    </w:p>
    <w:p>
      <w:pPr>
        <w:pStyle w:val="23"/>
      </w:pPr>
      <w:r>
        <w:fldChar w:fldCharType="begin"/>
      </w:r>
      <w:r>
        <w:instrText xml:space="preserve"> HYPERLINK \l _Toc29257 </w:instrText>
      </w:r>
      <w:r>
        <w:fldChar w:fldCharType="separate"/>
      </w:r>
      <w:r>
        <w:t>4.4</w:t>
      </w:r>
      <w:r>
        <w:rPr>
          <w:rFonts w:hint="eastAsia"/>
        </w:rPr>
        <w:t xml:space="preserve">  高处作业</w:t>
      </w:r>
      <w:r>
        <w:tab/>
      </w:r>
      <w:r>
        <w:fldChar w:fldCharType="begin"/>
      </w:r>
      <w:r>
        <w:instrText xml:space="preserve"> PAGEREF _Toc29257 </w:instrText>
      </w:r>
      <w:r>
        <w:fldChar w:fldCharType="separate"/>
      </w:r>
      <w:r>
        <w:t>5</w:t>
      </w:r>
      <w:r>
        <w:fldChar w:fldCharType="end"/>
      </w:r>
      <w:r>
        <w:fldChar w:fldCharType="end"/>
      </w:r>
    </w:p>
    <w:p>
      <w:pPr>
        <w:pStyle w:val="23"/>
      </w:pPr>
      <w:r>
        <w:fldChar w:fldCharType="begin"/>
      </w:r>
      <w:r>
        <w:instrText xml:space="preserve"> HYPERLINK \l _Toc24777 </w:instrText>
      </w:r>
      <w:r>
        <w:fldChar w:fldCharType="separate"/>
      </w:r>
      <w:r>
        <w:t>4.5</w:t>
      </w:r>
      <w:r>
        <w:rPr>
          <w:rFonts w:hint="eastAsia"/>
        </w:rPr>
        <w:t xml:space="preserve">  施工机具</w:t>
      </w:r>
      <w:r>
        <w:tab/>
      </w:r>
      <w:r>
        <w:fldChar w:fldCharType="begin"/>
      </w:r>
      <w:r>
        <w:instrText xml:space="preserve"> PAGEREF _Toc24777 </w:instrText>
      </w:r>
      <w:r>
        <w:fldChar w:fldCharType="separate"/>
      </w:r>
      <w:r>
        <w:t>6</w:t>
      </w:r>
      <w:r>
        <w:fldChar w:fldCharType="end"/>
      </w:r>
      <w:r>
        <w:fldChar w:fldCharType="end"/>
      </w:r>
    </w:p>
    <w:p>
      <w:pPr>
        <w:pStyle w:val="23"/>
      </w:pPr>
      <w:r>
        <w:fldChar w:fldCharType="begin"/>
      </w:r>
      <w:r>
        <w:instrText xml:space="preserve"> HYPERLINK \l _Toc20621 </w:instrText>
      </w:r>
      <w:r>
        <w:fldChar w:fldCharType="separate"/>
      </w:r>
      <w:r>
        <w:t>4.6</w:t>
      </w:r>
      <w:r>
        <w:rPr>
          <w:rFonts w:hint="eastAsia"/>
        </w:rPr>
        <w:t xml:space="preserve">  临时用电</w:t>
      </w:r>
      <w:r>
        <w:tab/>
      </w:r>
      <w:r>
        <w:fldChar w:fldCharType="begin"/>
      </w:r>
      <w:r>
        <w:instrText xml:space="preserve"> PAGEREF _Toc20621 </w:instrText>
      </w:r>
      <w:r>
        <w:fldChar w:fldCharType="separate"/>
      </w:r>
      <w:r>
        <w:t>6</w:t>
      </w:r>
      <w:r>
        <w:fldChar w:fldCharType="end"/>
      </w:r>
      <w:r>
        <w:fldChar w:fldCharType="end"/>
      </w:r>
    </w:p>
    <w:p>
      <w:pPr>
        <w:pStyle w:val="23"/>
      </w:pPr>
      <w:r>
        <w:fldChar w:fldCharType="begin"/>
      </w:r>
      <w:r>
        <w:instrText xml:space="preserve"> HYPERLINK \l _Toc3688 </w:instrText>
      </w:r>
      <w:r>
        <w:fldChar w:fldCharType="separate"/>
      </w:r>
      <w:r>
        <w:t>4.7</w:t>
      </w:r>
      <w:r>
        <w:rPr>
          <w:rFonts w:hint="eastAsia"/>
        </w:rPr>
        <w:t xml:space="preserve">  起重机械及起重吊装</w:t>
      </w:r>
      <w:r>
        <w:tab/>
      </w:r>
      <w:r>
        <w:fldChar w:fldCharType="begin"/>
      </w:r>
      <w:r>
        <w:instrText xml:space="preserve"> PAGEREF _Toc3688 </w:instrText>
      </w:r>
      <w:r>
        <w:fldChar w:fldCharType="separate"/>
      </w:r>
      <w:r>
        <w:t>7</w:t>
      </w:r>
      <w:r>
        <w:fldChar w:fldCharType="end"/>
      </w:r>
      <w:r>
        <w:fldChar w:fldCharType="end"/>
      </w:r>
    </w:p>
    <w:p>
      <w:pPr>
        <w:pStyle w:val="23"/>
      </w:pPr>
      <w:r>
        <w:fldChar w:fldCharType="begin"/>
      </w:r>
      <w:r>
        <w:instrText xml:space="preserve"> HYPERLINK \l _Toc12435 </w:instrText>
      </w:r>
      <w:r>
        <w:fldChar w:fldCharType="separate"/>
      </w:r>
      <w:r>
        <w:t>4.8</w:t>
      </w:r>
      <w:r>
        <w:rPr>
          <w:rFonts w:hint="eastAsia"/>
        </w:rPr>
        <w:t xml:space="preserve">  有限空间作业</w:t>
      </w:r>
      <w:r>
        <w:tab/>
      </w:r>
      <w:r>
        <w:fldChar w:fldCharType="begin"/>
      </w:r>
      <w:r>
        <w:instrText xml:space="preserve"> PAGEREF _Toc12435 </w:instrText>
      </w:r>
      <w:r>
        <w:fldChar w:fldCharType="separate"/>
      </w:r>
      <w:r>
        <w:t>7</w:t>
      </w:r>
      <w:r>
        <w:fldChar w:fldCharType="end"/>
      </w:r>
      <w:r>
        <w:fldChar w:fldCharType="end"/>
      </w:r>
    </w:p>
    <w:p>
      <w:pPr>
        <w:pStyle w:val="23"/>
      </w:pPr>
      <w:r>
        <w:fldChar w:fldCharType="begin"/>
      </w:r>
      <w:r>
        <w:instrText xml:space="preserve"> HYPERLINK \l _Toc27985 </w:instrText>
      </w:r>
      <w:r>
        <w:fldChar w:fldCharType="separate"/>
      </w:r>
      <w:r>
        <w:t>4.9</w:t>
      </w:r>
      <w:r>
        <w:rPr>
          <w:rFonts w:hint="eastAsia"/>
        </w:rPr>
        <w:t xml:space="preserve">  消防安全</w:t>
      </w:r>
      <w:r>
        <w:tab/>
      </w:r>
      <w:r>
        <w:fldChar w:fldCharType="begin"/>
      </w:r>
      <w:r>
        <w:instrText xml:space="preserve"> PAGEREF _Toc27985 </w:instrText>
      </w:r>
      <w:r>
        <w:fldChar w:fldCharType="separate"/>
      </w:r>
      <w:r>
        <w:t>8</w:t>
      </w:r>
      <w:r>
        <w:fldChar w:fldCharType="end"/>
      </w:r>
      <w:r>
        <w:fldChar w:fldCharType="end"/>
      </w:r>
    </w:p>
    <w:p>
      <w:pPr>
        <w:pStyle w:val="23"/>
      </w:pPr>
      <w:r>
        <w:fldChar w:fldCharType="begin"/>
      </w:r>
      <w:r>
        <w:instrText xml:space="preserve"> HYPERLINK \l _Toc27144 </w:instrText>
      </w:r>
      <w:r>
        <w:fldChar w:fldCharType="separate"/>
      </w:r>
      <w:r>
        <w:t>4.10</w:t>
      </w:r>
      <w:r>
        <w:rPr>
          <w:rFonts w:hint="eastAsia"/>
        </w:rPr>
        <w:t xml:space="preserve">  其他</w:t>
      </w:r>
      <w:r>
        <w:tab/>
      </w:r>
      <w:r>
        <w:fldChar w:fldCharType="begin"/>
      </w:r>
      <w:r>
        <w:instrText xml:space="preserve"> PAGEREF _Toc27144 </w:instrText>
      </w:r>
      <w:r>
        <w:fldChar w:fldCharType="separate"/>
      </w:r>
      <w:r>
        <w:t>8</w:t>
      </w:r>
      <w:r>
        <w:fldChar w:fldCharType="end"/>
      </w:r>
      <w:r>
        <w:fldChar w:fldCharType="end"/>
      </w:r>
    </w:p>
    <w:p>
      <w:pPr>
        <w:pStyle w:val="23"/>
      </w:pPr>
      <w:r>
        <w:fldChar w:fldCharType="begin"/>
      </w:r>
      <w:r>
        <w:instrText xml:space="preserve"> HYPERLINK \l _Toc17662 </w:instrText>
      </w:r>
      <w:r>
        <w:fldChar w:fldCharType="separate"/>
      </w:r>
      <w:r>
        <w:rPr>
          <w:rFonts w:hint="eastAsia"/>
        </w:rPr>
        <w:t>5</w:t>
      </w:r>
      <w:r>
        <w:t xml:space="preserve"> </w:t>
      </w:r>
      <w:r>
        <w:rPr>
          <w:rFonts w:hint="eastAsia"/>
        </w:rPr>
        <w:t xml:space="preserve"> 市政基础设施工程</w:t>
      </w:r>
      <w:r>
        <w:rPr>
          <w:rFonts w:hint="eastAsia"/>
          <w:lang w:eastAsia="zh-CN"/>
        </w:rPr>
        <w:t>重大生产安全事故隐患</w:t>
      </w:r>
      <w:r>
        <w:tab/>
      </w:r>
      <w:r>
        <w:fldChar w:fldCharType="begin"/>
      </w:r>
      <w:r>
        <w:instrText xml:space="preserve"> PAGEREF _Toc17662 </w:instrText>
      </w:r>
      <w:r>
        <w:fldChar w:fldCharType="separate"/>
      </w:r>
      <w:r>
        <w:t>9</w:t>
      </w:r>
      <w:r>
        <w:fldChar w:fldCharType="end"/>
      </w:r>
      <w:r>
        <w:fldChar w:fldCharType="end"/>
      </w:r>
    </w:p>
    <w:p>
      <w:pPr>
        <w:pStyle w:val="23"/>
      </w:pPr>
      <w:r>
        <w:fldChar w:fldCharType="begin"/>
      </w:r>
      <w:r>
        <w:instrText xml:space="preserve"> HYPERLINK \l _Toc17148 </w:instrText>
      </w:r>
      <w:r>
        <w:fldChar w:fldCharType="separate"/>
      </w:r>
      <w:r>
        <w:t>5.1</w:t>
      </w:r>
      <w:r>
        <w:rPr>
          <w:rFonts w:hint="eastAsia"/>
        </w:rPr>
        <w:t xml:space="preserve">  土石方工程</w:t>
      </w:r>
      <w:r>
        <w:tab/>
      </w:r>
      <w:r>
        <w:fldChar w:fldCharType="begin"/>
      </w:r>
      <w:r>
        <w:instrText xml:space="preserve"> PAGEREF _Toc17148 </w:instrText>
      </w:r>
      <w:r>
        <w:fldChar w:fldCharType="separate"/>
      </w:r>
      <w:r>
        <w:t>9</w:t>
      </w:r>
      <w:r>
        <w:fldChar w:fldCharType="end"/>
      </w:r>
      <w:r>
        <w:fldChar w:fldCharType="end"/>
      </w:r>
    </w:p>
    <w:p>
      <w:pPr>
        <w:pStyle w:val="23"/>
      </w:pPr>
      <w:r>
        <w:fldChar w:fldCharType="begin"/>
      </w:r>
      <w:r>
        <w:instrText xml:space="preserve"> HYPERLINK \l _Toc21969 </w:instrText>
      </w:r>
      <w:r>
        <w:fldChar w:fldCharType="separate"/>
      </w:r>
      <w:r>
        <w:rPr>
          <w:rFonts w:hint="eastAsia"/>
        </w:rPr>
        <w:t xml:space="preserve">5.2  </w:t>
      </w:r>
      <w:r>
        <w:rPr>
          <w:rFonts w:hint="eastAsia"/>
          <w:lang w:val="en-US"/>
        </w:rPr>
        <w:t>脚手架、模板支撑体系</w:t>
      </w:r>
      <w:r>
        <w:tab/>
      </w:r>
      <w:r>
        <w:fldChar w:fldCharType="begin"/>
      </w:r>
      <w:r>
        <w:instrText xml:space="preserve"> PAGEREF _Toc21969 </w:instrText>
      </w:r>
      <w:r>
        <w:fldChar w:fldCharType="separate"/>
      </w:r>
      <w:r>
        <w:t>9</w:t>
      </w:r>
      <w:r>
        <w:fldChar w:fldCharType="end"/>
      </w:r>
      <w:r>
        <w:fldChar w:fldCharType="end"/>
      </w:r>
    </w:p>
    <w:p>
      <w:pPr>
        <w:pStyle w:val="23"/>
      </w:pPr>
      <w:r>
        <w:fldChar w:fldCharType="begin"/>
      </w:r>
      <w:r>
        <w:instrText xml:space="preserve"> HYPERLINK \l _Toc2703 </w:instrText>
      </w:r>
      <w:r>
        <w:fldChar w:fldCharType="separate"/>
      </w:r>
      <w:r>
        <w:rPr>
          <w:rFonts w:hint="eastAsia"/>
        </w:rPr>
        <w:t>5.</w:t>
      </w:r>
      <w:r>
        <w:rPr>
          <w:rFonts w:hint="eastAsia"/>
          <w:lang w:eastAsia="zh-CN"/>
        </w:rPr>
        <w:t>3</w:t>
      </w:r>
      <w:r>
        <w:rPr>
          <w:rFonts w:hint="eastAsia"/>
        </w:rPr>
        <w:t xml:space="preserve">  </w:t>
      </w:r>
      <w:r>
        <w:rPr>
          <w:rFonts w:hint="eastAsia"/>
          <w:lang w:val="en-US"/>
        </w:rPr>
        <w:t>高处作业</w:t>
      </w:r>
      <w:r>
        <w:tab/>
      </w:r>
      <w:r>
        <w:fldChar w:fldCharType="begin"/>
      </w:r>
      <w:r>
        <w:instrText xml:space="preserve"> PAGEREF _Toc2703 </w:instrText>
      </w:r>
      <w:r>
        <w:fldChar w:fldCharType="separate"/>
      </w:r>
      <w:r>
        <w:t>9</w:t>
      </w:r>
      <w:r>
        <w:fldChar w:fldCharType="end"/>
      </w:r>
      <w:r>
        <w:fldChar w:fldCharType="end"/>
      </w:r>
    </w:p>
    <w:p>
      <w:pPr>
        <w:pStyle w:val="23"/>
      </w:pPr>
      <w:r>
        <w:fldChar w:fldCharType="begin"/>
      </w:r>
      <w:r>
        <w:instrText xml:space="preserve"> HYPERLINK \l _Toc10640 </w:instrText>
      </w:r>
      <w:r>
        <w:fldChar w:fldCharType="separate"/>
      </w:r>
      <w:r>
        <w:rPr>
          <w:rFonts w:hint="eastAsia"/>
        </w:rPr>
        <w:t>5.</w:t>
      </w:r>
      <w:r>
        <w:rPr>
          <w:rFonts w:hint="eastAsia"/>
          <w:lang w:eastAsia="zh-CN"/>
        </w:rPr>
        <w:t>4</w:t>
      </w:r>
      <w:r>
        <w:rPr>
          <w:rFonts w:hint="eastAsia"/>
        </w:rPr>
        <w:t xml:space="preserve">  </w:t>
      </w:r>
      <w:r>
        <w:rPr>
          <w:rFonts w:hint="eastAsia"/>
          <w:lang w:val="en-US"/>
        </w:rPr>
        <w:t>施工机械</w:t>
      </w:r>
      <w:r>
        <w:rPr>
          <w:rFonts w:hint="eastAsia"/>
          <w:lang w:val="en-US" w:eastAsia="zh-CN"/>
        </w:rPr>
        <w:t>及</w:t>
      </w:r>
      <w:r>
        <w:rPr>
          <w:rFonts w:hint="eastAsia"/>
          <w:lang w:val="en-US"/>
        </w:rPr>
        <w:t>起重吊装</w:t>
      </w:r>
      <w:r>
        <w:tab/>
      </w:r>
      <w:r>
        <w:fldChar w:fldCharType="begin"/>
      </w:r>
      <w:r>
        <w:instrText xml:space="preserve"> PAGEREF _Toc10640 </w:instrText>
      </w:r>
      <w:r>
        <w:fldChar w:fldCharType="separate"/>
      </w:r>
      <w:r>
        <w:t>9</w:t>
      </w:r>
      <w:r>
        <w:fldChar w:fldCharType="end"/>
      </w:r>
      <w:r>
        <w:fldChar w:fldCharType="end"/>
      </w:r>
    </w:p>
    <w:p>
      <w:pPr>
        <w:pStyle w:val="23"/>
      </w:pPr>
      <w:r>
        <w:fldChar w:fldCharType="begin"/>
      </w:r>
      <w:r>
        <w:instrText xml:space="preserve"> HYPERLINK \l _Toc17935 </w:instrText>
      </w:r>
      <w:r>
        <w:fldChar w:fldCharType="separate"/>
      </w:r>
      <w:r>
        <w:rPr>
          <w:rFonts w:hint="eastAsia"/>
        </w:rPr>
        <w:t>5.</w:t>
      </w:r>
      <w:r>
        <w:rPr>
          <w:rFonts w:hint="eastAsia"/>
          <w:lang w:eastAsia="zh-CN"/>
        </w:rPr>
        <w:t>5</w:t>
      </w:r>
      <w:r>
        <w:rPr>
          <w:rFonts w:hint="eastAsia"/>
        </w:rPr>
        <w:t xml:space="preserve">  </w:t>
      </w:r>
      <w:r>
        <w:rPr>
          <w:rFonts w:hint="eastAsia"/>
          <w:lang w:val="en-US"/>
        </w:rPr>
        <w:t>有限空间作业</w:t>
      </w:r>
      <w:r>
        <w:tab/>
      </w:r>
      <w:r>
        <w:fldChar w:fldCharType="begin"/>
      </w:r>
      <w:r>
        <w:instrText xml:space="preserve"> PAGEREF _Toc17935 </w:instrText>
      </w:r>
      <w:r>
        <w:fldChar w:fldCharType="separate"/>
      </w:r>
      <w:r>
        <w:t>10</w:t>
      </w:r>
      <w:r>
        <w:fldChar w:fldCharType="end"/>
      </w:r>
      <w:r>
        <w:fldChar w:fldCharType="end"/>
      </w:r>
    </w:p>
    <w:p>
      <w:pPr>
        <w:pStyle w:val="23"/>
      </w:pPr>
      <w:r>
        <w:fldChar w:fldCharType="begin"/>
      </w:r>
      <w:r>
        <w:instrText xml:space="preserve"> HYPERLINK \l _Toc12416 </w:instrText>
      </w:r>
      <w:r>
        <w:fldChar w:fldCharType="separate"/>
      </w:r>
      <w:r>
        <w:rPr>
          <w:rFonts w:hint="eastAsia"/>
        </w:rPr>
        <w:t>5.</w:t>
      </w:r>
      <w:r>
        <w:rPr>
          <w:rFonts w:hint="eastAsia"/>
          <w:lang w:eastAsia="zh-CN"/>
        </w:rPr>
        <w:t>6</w:t>
      </w:r>
      <w:r>
        <w:rPr>
          <w:rFonts w:hint="eastAsia"/>
        </w:rPr>
        <w:t xml:space="preserve">  </w:t>
      </w:r>
      <w:r>
        <w:rPr>
          <w:rFonts w:hint="eastAsia"/>
          <w:lang w:val="en-US" w:eastAsia="zh-CN"/>
        </w:rPr>
        <w:t>临时用电</w:t>
      </w:r>
      <w:r>
        <w:tab/>
      </w:r>
      <w:r>
        <w:fldChar w:fldCharType="begin"/>
      </w:r>
      <w:r>
        <w:instrText xml:space="preserve"> PAGEREF _Toc12416 </w:instrText>
      </w:r>
      <w:r>
        <w:fldChar w:fldCharType="separate"/>
      </w:r>
      <w:r>
        <w:t>10</w:t>
      </w:r>
      <w:r>
        <w:fldChar w:fldCharType="end"/>
      </w:r>
      <w:r>
        <w:fldChar w:fldCharType="end"/>
      </w:r>
    </w:p>
    <w:p>
      <w:pPr>
        <w:pStyle w:val="23"/>
      </w:pPr>
      <w:r>
        <w:fldChar w:fldCharType="begin"/>
      </w:r>
      <w:r>
        <w:instrText xml:space="preserve"> HYPERLINK \l _Toc27665 </w:instrText>
      </w:r>
      <w:r>
        <w:fldChar w:fldCharType="separate"/>
      </w:r>
      <w:r>
        <w:rPr>
          <w:rFonts w:hint="eastAsia"/>
        </w:rPr>
        <w:t>5.</w:t>
      </w:r>
      <w:r>
        <w:rPr>
          <w:rFonts w:hint="eastAsia"/>
          <w:lang w:eastAsia="zh-CN"/>
        </w:rPr>
        <w:t>7</w:t>
      </w:r>
      <w:r>
        <w:rPr>
          <w:rFonts w:hint="eastAsia"/>
        </w:rPr>
        <w:t xml:space="preserve">  </w:t>
      </w:r>
      <w:r>
        <w:rPr>
          <w:rFonts w:hint="eastAsia"/>
          <w:lang w:val="en-US" w:eastAsia="zh-CN"/>
        </w:rPr>
        <w:t>消防安全</w:t>
      </w:r>
      <w:r>
        <w:tab/>
      </w:r>
      <w:r>
        <w:fldChar w:fldCharType="begin"/>
      </w:r>
      <w:r>
        <w:instrText xml:space="preserve"> PAGEREF _Toc27665 </w:instrText>
      </w:r>
      <w:r>
        <w:fldChar w:fldCharType="separate"/>
      </w:r>
      <w:r>
        <w:t>10</w:t>
      </w:r>
      <w:r>
        <w:fldChar w:fldCharType="end"/>
      </w:r>
      <w:r>
        <w:fldChar w:fldCharType="end"/>
      </w:r>
    </w:p>
    <w:p>
      <w:pPr>
        <w:pStyle w:val="23"/>
      </w:pPr>
      <w:r>
        <w:fldChar w:fldCharType="begin"/>
      </w:r>
      <w:r>
        <w:instrText xml:space="preserve"> HYPERLINK \l _Toc22691 </w:instrText>
      </w:r>
      <w:r>
        <w:fldChar w:fldCharType="separate"/>
      </w:r>
      <w:r>
        <w:rPr>
          <w:rFonts w:hint="eastAsia"/>
        </w:rPr>
        <w:t>5.</w:t>
      </w:r>
      <w:r>
        <w:rPr>
          <w:rFonts w:hint="eastAsia"/>
          <w:lang w:eastAsia="zh-CN"/>
        </w:rPr>
        <w:t>8</w:t>
      </w:r>
      <w:r>
        <w:rPr>
          <w:rFonts w:hint="eastAsia"/>
        </w:rPr>
        <w:t xml:space="preserve">  </w:t>
      </w:r>
      <w:r>
        <w:rPr>
          <w:rFonts w:hint="eastAsia"/>
          <w:lang w:val="en-US" w:eastAsia="zh-CN"/>
        </w:rPr>
        <w:t>桥梁工程</w:t>
      </w:r>
      <w:r>
        <w:tab/>
      </w:r>
      <w:r>
        <w:fldChar w:fldCharType="begin"/>
      </w:r>
      <w:r>
        <w:instrText xml:space="preserve"> PAGEREF _Toc22691 </w:instrText>
      </w:r>
      <w:r>
        <w:fldChar w:fldCharType="separate"/>
      </w:r>
      <w:r>
        <w:t>11</w:t>
      </w:r>
      <w:r>
        <w:fldChar w:fldCharType="end"/>
      </w:r>
      <w:r>
        <w:fldChar w:fldCharType="end"/>
      </w:r>
    </w:p>
    <w:p>
      <w:pPr>
        <w:pStyle w:val="23"/>
      </w:pPr>
      <w:r>
        <w:fldChar w:fldCharType="begin"/>
      </w:r>
      <w:r>
        <w:instrText xml:space="preserve"> HYPERLINK \l _Toc17740 </w:instrText>
      </w:r>
      <w:r>
        <w:fldChar w:fldCharType="separate"/>
      </w:r>
      <w:r>
        <w:rPr>
          <w:rFonts w:hint="eastAsia"/>
        </w:rPr>
        <w:t>5.</w:t>
      </w:r>
      <w:r>
        <w:rPr>
          <w:rFonts w:hint="eastAsia"/>
          <w:lang w:eastAsia="zh-CN"/>
        </w:rPr>
        <w:t>9</w:t>
      </w:r>
      <w:r>
        <w:rPr>
          <w:rFonts w:hint="eastAsia"/>
        </w:rPr>
        <w:t xml:space="preserve">  </w:t>
      </w:r>
      <w:r>
        <w:rPr>
          <w:rFonts w:hint="eastAsia"/>
          <w:lang w:val="en-US" w:eastAsia="zh-CN"/>
        </w:rPr>
        <w:t>水处理工程、垃圾处理工程、管网工程</w:t>
      </w:r>
      <w:r>
        <w:tab/>
      </w:r>
      <w:r>
        <w:fldChar w:fldCharType="begin"/>
      </w:r>
      <w:r>
        <w:instrText xml:space="preserve"> PAGEREF _Toc17740 </w:instrText>
      </w:r>
      <w:r>
        <w:fldChar w:fldCharType="separate"/>
      </w:r>
      <w:r>
        <w:t>12</w:t>
      </w:r>
      <w:r>
        <w:fldChar w:fldCharType="end"/>
      </w:r>
      <w:r>
        <w:fldChar w:fldCharType="end"/>
      </w:r>
    </w:p>
    <w:p>
      <w:pPr>
        <w:pStyle w:val="23"/>
      </w:pPr>
      <w:r>
        <w:fldChar w:fldCharType="begin"/>
      </w:r>
      <w:r>
        <w:instrText xml:space="preserve"> HYPERLINK \l _Toc30633 </w:instrText>
      </w:r>
      <w:r>
        <w:fldChar w:fldCharType="separate"/>
      </w:r>
      <w:r>
        <w:rPr>
          <w:rFonts w:hint="eastAsia"/>
        </w:rPr>
        <w:t>5.</w:t>
      </w:r>
      <w:r>
        <w:rPr>
          <w:rFonts w:hint="eastAsia"/>
          <w:lang w:eastAsia="zh-CN"/>
        </w:rPr>
        <w:t>10</w:t>
      </w:r>
      <w:r>
        <w:rPr>
          <w:rFonts w:hint="eastAsia"/>
        </w:rPr>
        <w:t xml:space="preserve">  </w:t>
      </w:r>
      <w:r>
        <w:rPr>
          <w:rFonts w:hint="eastAsia"/>
          <w:lang w:val="en-US" w:eastAsia="zh-CN"/>
        </w:rPr>
        <w:t>其他</w:t>
      </w:r>
      <w:r>
        <w:tab/>
      </w:r>
      <w:r>
        <w:fldChar w:fldCharType="begin"/>
      </w:r>
      <w:r>
        <w:instrText xml:space="preserve"> PAGEREF _Toc30633 </w:instrText>
      </w:r>
      <w:r>
        <w:fldChar w:fldCharType="separate"/>
      </w:r>
      <w:r>
        <w:t>13</w:t>
      </w:r>
      <w:r>
        <w:fldChar w:fldCharType="end"/>
      </w:r>
      <w:r>
        <w:fldChar w:fldCharType="end"/>
      </w:r>
    </w:p>
    <w:p>
      <w:pPr>
        <w:pStyle w:val="23"/>
      </w:pPr>
      <w:r>
        <w:fldChar w:fldCharType="begin"/>
      </w:r>
      <w:r>
        <w:instrText xml:space="preserve"> HYPERLINK \l _Toc2358 </w:instrText>
      </w:r>
      <w:r>
        <w:fldChar w:fldCharType="separate"/>
      </w:r>
      <w:r>
        <w:rPr>
          <w:rFonts w:hint="eastAsia"/>
        </w:rPr>
        <w:t>6</w:t>
      </w:r>
      <w:r>
        <w:t xml:space="preserve"> </w:t>
      </w:r>
      <w:r>
        <w:rPr>
          <w:rFonts w:hint="eastAsia"/>
        </w:rPr>
        <w:t xml:space="preserve"> </w:t>
      </w:r>
      <w:r>
        <w:rPr>
          <w:rFonts w:hint="eastAsia"/>
          <w:lang w:eastAsia="zh-CN"/>
        </w:rPr>
        <w:t>城市</w:t>
      </w:r>
      <w:r>
        <w:rPr>
          <w:rFonts w:hint="eastAsia"/>
        </w:rPr>
        <w:t>轨道交通工程</w:t>
      </w:r>
      <w:r>
        <w:rPr>
          <w:rFonts w:hint="eastAsia"/>
          <w:lang w:eastAsia="zh-CN"/>
        </w:rPr>
        <w:t>重大生产安全事故隐患</w:t>
      </w:r>
      <w:r>
        <w:tab/>
      </w:r>
      <w:r>
        <w:fldChar w:fldCharType="begin"/>
      </w:r>
      <w:r>
        <w:instrText xml:space="preserve"> PAGEREF _Toc2358 </w:instrText>
      </w:r>
      <w:r>
        <w:fldChar w:fldCharType="separate"/>
      </w:r>
      <w:r>
        <w:t>14</w:t>
      </w:r>
      <w:r>
        <w:fldChar w:fldCharType="end"/>
      </w:r>
      <w:r>
        <w:fldChar w:fldCharType="end"/>
      </w:r>
    </w:p>
    <w:p>
      <w:pPr>
        <w:pStyle w:val="23"/>
      </w:pPr>
      <w:r>
        <w:fldChar w:fldCharType="begin"/>
      </w:r>
      <w:r>
        <w:instrText xml:space="preserve"> HYPERLINK \l _Toc25997 </w:instrText>
      </w:r>
      <w:r>
        <w:fldChar w:fldCharType="separate"/>
      </w:r>
      <w:r>
        <w:rPr>
          <w:rFonts w:hint="eastAsia"/>
        </w:rPr>
        <w:t xml:space="preserve">6.1  </w:t>
      </w:r>
      <w:r>
        <w:rPr>
          <w:rFonts w:hint="eastAsia"/>
          <w:lang w:val="en-US" w:eastAsia="zh-CN"/>
        </w:rPr>
        <w:t>条件核查</w:t>
      </w:r>
      <w:r>
        <w:tab/>
      </w:r>
      <w:r>
        <w:fldChar w:fldCharType="begin"/>
      </w:r>
      <w:r>
        <w:instrText xml:space="preserve"> PAGEREF _Toc25997 </w:instrText>
      </w:r>
      <w:r>
        <w:fldChar w:fldCharType="separate"/>
      </w:r>
      <w:r>
        <w:t>14</w:t>
      </w:r>
      <w:r>
        <w:fldChar w:fldCharType="end"/>
      </w:r>
      <w:r>
        <w:fldChar w:fldCharType="end"/>
      </w:r>
    </w:p>
    <w:p>
      <w:pPr>
        <w:pStyle w:val="23"/>
      </w:pPr>
      <w:r>
        <w:fldChar w:fldCharType="begin"/>
      </w:r>
      <w:r>
        <w:instrText xml:space="preserve"> HYPERLINK \l _Toc15551 </w:instrText>
      </w:r>
      <w:r>
        <w:fldChar w:fldCharType="separate"/>
      </w:r>
      <w:r>
        <w:rPr>
          <w:rFonts w:hint="eastAsia"/>
        </w:rPr>
        <w:t xml:space="preserve">6.2  </w:t>
      </w:r>
      <w:r>
        <w:rPr>
          <w:rFonts w:hint="eastAsia"/>
          <w:lang w:eastAsia="zh-CN"/>
        </w:rPr>
        <w:t>明挖工程</w:t>
      </w:r>
      <w:r>
        <w:tab/>
      </w:r>
      <w:r>
        <w:fldChar w:fldCharType="begin"/>
      </w:r>
      <w:r>
        <w:instrText xml:space="preserve"> PAGEREF _Toc15551 </w:instrText>
      </w:r>
      <w:r>
        <w:fldChar w:fldCharType="separate"/>
      </w:r>
      <w:r>
        <w:t>14</w:t>
      </w:r>
      <w:r>
        <w:fldChar w:fldCharType="end"/>
      </w:r>
      <w:r>
        <w:fldChar w:fldCharType="end"/>
      </w:r>
    </w:p>
    <w:p>
      <w:pPr>
        <w:pStyle w:val="23"/>
      </w:pPr>
      <w:r>
        <w:fldChar w:fldCharType="begin"/>
      </w:r>
      <w:r>
        <w:instrText xml:space="preserve"> HYPERLINK \l _Toc21751 </w:instrText>
      </w:r>
      <w:r>
        <w:fldChar w:fldCharType="separate"/>
      </w:r>
      <w:r>
        <w:rPr>
          <w:rFonts w:hint="eastAsia"/>
        </w:rPr>
        <w:t xml:space="preserve">6.3  </w:t>
      </w:r>
      <w:r>
        <w:rPr>
          <w:rFonts w:hint="eastAsia"/>
          <w:lang w:eastAsia="zh-CN"/>
        </w:rPr>
        <w:t>矿山法工程</w:t>
      </w:r>
      <w:r>
        <w:tab/>
      </w:r>
      <w:r>
        <w:fldChar w:fldCharType="begin"/>
      </w:r>
      <w:r>
        <w:instrText xml:space="preserve"> PAGEREF _Toc21751 </w:instrText>
      </w:r>
      <w:r>
        <w:fldChar w:fldCharType="separate"/>
      </w:r>
      <w:r>
        <w:t>14</w:t>
      </w:r>
      <w:r>
        <w:fldChar w:fldCharType="end"/>
      </w:r>
      <w:r>
        <w:fldChar w:fldCharType="end"/>
      </w:r>
    </w:p>
    <w:p>
      <w:pPr>
        <w:pStyle w:val="23"/>
      </w:pPr>
      <w:r>
        <w:fldChar w:fldCharType="begin"/>
      </w:r>
      <w:r>
        <w:instrText xml:space="preserve"> HYPERLINK \l _Toc19350 </w:instrText>
      </w:r>
      <w:r>
        <w:fldChar w:fldCharType="separate"/>
      </w:r>
      <w:r>
        <w:rPr>
          <w:rFonts w:hint="eastAsia"/>
        </w:rPr>
        <w:t>6.</w:t>
      </w:r>
      <w:r>
        <w:rPr>
          <w:rFonts w:hint="eastAsia"/>
          <w:lang w:eastAsia="zh-CN"/>
        </w:rPr>
        <w:t>4</w:t>
      </w:r>
      <w:r>
        <w:rPr>
          <w:rFonts w:hint="eastAsia"/>
        </w:rPr>
        <w:t xml:space="preserve">  </w:t>
      </w:r>
      <w:r>
        <w:rPr>
          <w:rFonts w:hint="eastAsia"/>
          <w:lang w:eastAsia="zh-CN"/>
        </w:rPr>
        <w:t>盾构工程</w:t>
      </w:r>
      <w:r>
        <w:tab/>
      </w:r>
      <w:r>
        <w:fldChar w:fldCharType="begin"/>
      </w:r>
      <w:r>
        <w:instrText xml:space="preserve"> PAGEREF _Toc19350 </w:instrText>
      </w:r>
      <w:r>
        <w:fldChar w:fldCharType="separate"/>
      </w:r>
      <w:r>
        <w:t>14</w:t>
      </w:r>
      <w:r>
        <w:fldChar w:fldCharType="end"/>
      </w:r>
      <w:r>
        <w:fldChar w:fldCharType="end"/>
      </w:r>
    </w:p>
    <w:p>
      <w:pPr>
        <w:pStyle w:val="23"/>
      </w:pPr>
      <w:r>
        <w:fldChar w:fldCharType="begin"/>
      </w:r>
      <w:r>
        <w:instrText xml:space="preserve"> HYPERLINK \l _Toc8154 </w:instrText>
      </w:r>
      <w:r>
        <w:fldChar w:fldCharType="separate"/>
      </w:r>
      <w:r>
        <w:rPr>
          <w:rFonts w:hint="eastAsia"/>
        </w:rPr>
        <w:t>6.</w:t>
      </w:r>
      <w:r>
        <w:rPr>
          <w:rFonts w:hint="eastAsia"/>
          <w:lang w:eastAsia="zh-CN"/>
        </w:rPr>
        <w:t>5</w:t>
      </w:r>
      <w:r>
        <w:rPr>
          <w:rFonts w:hint="eastAsia"/>
        </w:rPr>
        <w:t xml:space="preserve">  </w:t>
      </w:r>
      <w:r>
        <w:rPr>
          <w:rFonts w:hint="eastAsia"/>
          <w:lang w:eastAsia="zh-CN"/>
        </w:rPr>
        <w:t>起重吊装</w:t>
      </w:r>
      <w:r>
        <w:tab/>
      </w:r>
      <w:r>
        <w:fldChar w:fldCharType="begin"/>
      </w:r>
      <w:r>
        <w:instrText xml:space="preserve"> PAGEREF _Toc8154 </w:instrText>
      </w:r>
      <w:r>
        <w:fldChar w:fldCharType="separate"/>
      </w:r>
      <w:r>
        <w:t>14</w:t>
      </w:r>
      <w:r>
        <w:fldChar w:fldCharType="end"/>
      </w:r>
      <w:r>
        <w:fldChar w:fldCharType="end"/>
      </w:r>
    </w:p>
    <w:p>
      <w:pPr>
        <w:pStyle w:val="23"/>
      </w:pPr>
      <w:r>
        <w:fldChar w:fldCharType="begin"/>
      </w:r>
      <w:r>
        <w:instrText xml:space="preserve"> HYPERLINK \l _Toc22744 </w:instrText>
      </w:r>
      <w:r>
        <w:fldChar w:fldCharType="separate"/>
      </w:r>
      <w:r>
        <w:rPr>
          <w:rFonts w:hint="eastAsia"/>
          <w:lang w:eastAsia="zh-CN"/>
        </w:rPr>
        <w:t>6.6</w:t>
      </w:r>
      <w:r>
        <w:rPr>
          <w:rFonts w:hint="eastAsia"/>
        </w:rPr>
        <w:t xml:space="preserve">  </w:t>
      </w:r>
      <w:r>
        <w:rPr>
          <w:rFonts w:hint="eastAsia"/>
          <w:lang w:eastAsia="zh-CN"/>
        </w:rPr>
        <w:t>临时用电</w:t>
      </w:r>
      <w:r>
        <w:tab/>
      </w:r>
      <w:r>
        <w:fldChar w:fldCharType="begin"/>
      </w:r>
      <w:r>
        <w:instrText xml:space="preserve"> PAGEREF _Toc22744 </w:instrText>
      </w:r>
      <w:r>
        <w:fldChar w:fldCharType="separate"/>
      </w:r>
      <w:r>
        <w:t>15</w:t>
      </w:r>
      <w:r>
        <w:fldChar w:fldCharType="end"/>
      </w:r>
      <w:r>
        <w:fldChar w:fldCharType="end"/>
      </w:r>
    </w:p>
    <w:p>
      <w:pPr>
        <w:pStyle w:val="23"/>
      </w:pPr>
      <w:r>
        <w:fldChar w:fldCharType="begin"/>
      </w:r>
      <w:r>
        <w:instrText xml:space="preserve"> HYPERLINK \l _Toc12783 </w:instrText>
      </w:r>
      <w:r>
        <w:fldChar w:fldCharType="separate"/>
      </w:r>
      <w:r>
        <w:rPr>
          <w:rFonts w:hint="eastAsia"/>
        </w:rPr>
        <w:t>6.</w:t>
      </w:r>
      <w:r>
        <w:rPr>
          <w:rFonts w:hint="eastAsia"/>
          <w:lang w:eastAsia="zh-CN"/>
        </w:rPr>
        <w:t>7</w:t>
      </w:r>
      <w:r>
        <w:rPr>
          <w:rFonts w:hint="eastAsia"/>
          <w:lang w:val="en-US" w:eastAsia="zh-CN"/>
        </w:rPr>
        <w:t xml:space="preserve"> </w:t>
      </w:r>
      <w:r>
        <w:rPr>
          <w:rFonts w:hint="eastAsia"/>
        </w:rPr>
        <w:t xml:space="preserve"> 消防安全</w:t>
      </w:r>
      <w:r>
        <w:tab/>
      </w:r>
      <w:r>
        <w:fldChar w:fldCharType="begin"/>
      </w:r>
      <w:r>
        <w:instrText xml:space="preserve"> PAGEREF _Toc12783 </w:instrText>
      </w:r>
      <w:r>
        <w:fldChar w:fldCharType="separate"/>
      </w:r>
      <w:r>
        <w:t>15</w:t>
      </w:r>
      <w:r>
        <w:fldChar w:fldCharType="end"/>
      </w:r>
      <w:r>
        <w:fldChar w:fldCharType="end"/>
      </w:r>
    </w:p>
    <w:p>
      <w:pPr>
        <w:pStyle w:val="23"/>
      </w:pPr>
      <w:r>
        <w:fldChar w:fldCharType="begin"/>
      </w:r>
      <w:r>
        <w:instrText xml:space="preserve"> HYPERLINK \l _Toc27176 </w:instrText>
      </w:r>
      <w:r>
        <w:fldChar w:fldCharType="separate"/>
      </w:r>
      <w:r>
        <w:rPr>
          <w:rFonts w:hint="eastAsia"/>
        </w:rPr>
        <w:t>6.</w:t>
      </w:r>
      <w:r>
        <w:rPr>
          <w:rFonts w:hint="eastAsia"/>
          <w:lang w:eastAsia="zh-CN"/>
        </w:rPr>
        <w:t>8</w:t>
      </w:r>
      <w:r>
        <w:rPr>
          <w:rFonts w:hint="eastAsia"/>
        </w:rPr>
        <w:t xml:space="preserve">  </w:t>
      </w:r>
      <w:r>
        <w:rPr>
          <w:rFonts w:hint="eastAsia"/>
          <w:lang w:eastAsia="zh-CN"/>
        </w:rPr>
        <w:t>安全防护</w:t>
      </w:r>
      <w:r>
        <w:tab/>
      </w:r>
      <w:r>
        <w:fldChar w:fldCharType="begin"/>
      </w:r>
      <w:r>
        <w:instrText xml:space="preserve"> PAGEREF _Toc27176 </w:instrText>
      </w:r>
      <w:r>
        <w:fldChar w:fldCharType="separate"/>
      </w:r>
      <w:r>
        <w:t>15</w:t>
      </w:r>
      <w:r>
        <w:fldChar w:fldCharType="end"/>
      </w:r>
      <w:r>
        <w:fldChar w:fldCharType="end"/>
      </w:r>
    </w:p>
    <w:p>
      <w:pPr>
        <w:pStyle w:val="23"/>
      </w:pPr>
      <w:r>
        <w:fldChar w:fldCharType="begin"/>
      </w:r>
      <w:r>
        <w:instrText xml:space="preserve"> HYPERLINK \l _Toc18415 </w:instrText>
      </w:r>
      <w:r>
        <w:fldChar w:fldCharType="separate"/>
      </w:r>
      <w:r>
        <w:rPr>
          <w:rFonts w:hint="eastAsia"/>
        </w:rPr>
        <w:t>6.</w:t>
      </w:r>
      <w:r>
        <w:rPr>
          <w:rFonts w:hint="eastAsia"/>
          <w:lang w:val="en-US" w:eastAsia="zh-CN"/>
        </w:rPr>
        <w:t>9</w:t>
      </w:r>
      <w:r>
        <w:rPr>
          <w:rFonts w:hint="eastAsia"/>
        </w:rPr>
        <w:t xml:space="preserve">  </w:t>
      </w:r>
      <w:r>
        <w:rPr>
          <w:rFonts w:hint="eastAsia"/>
          <w:lang w:eastAsia="zh-CN"/>
        </w:rPr>
        <w:t>防汛</w:t>
      </w:r>
      <w:r>
        <w:tab/>
      </w:r>
      <w:r>
        <w:fldChar w:fldCharType="begin"/>
      </w:r>
      <w:r>
        <w:instrText xml:space="preserve"> PAGEREF _Toc18415 </w:instrText>
      </w:r>
      <w:r>
        <w:fldChar w:fldCharType="separate"/>
      </w:r>
      <w:r>
        <w:t>15</w:t>
      </w:r>
      <w:r>
        <w:fldChar w:fldCharType="end"/>
      </w:r>
      <w:r>
        <w:fldChar w:fldCharType="end"/>
      </w:r>
    </w:p>
    <w:p>
      <w:pPr>
        <w:pStyle w:val="23"/>
      </w:pPr>
      <w:r>
        <w:fldChar w:fldCharType="begin"/>
      </w:r>
      <w:r>
        <w:instrText xml:space="preserve"> HYPERLINK \l _Toc26742 </w:instrText>
      </w:r>
      <w:r>
        <w:fldChar w:fldCharType="separate"/>
      </w:r>
      <w:r>
        <w:rPr>
          <w:rFonts w:hint="eastAsia"/>
        </w:rPr>
        <w:t>7</w:t>
      </w:r>
      <w:r>
        <w:rPr>
          <w:rFonts w:hint="eastAsia"/>
          <w:lang w:eastAsia="zh-CN"/>
        </w:rPr>
        <w:t xml:space="preserve">  </w:t>
      </w:r>
      <w:r>
        <w:rPr>
          <w:rFonts w:hint="eastAsia"/>
        </w:rPr>
        <w:t>拆除工程</w:t>
      </w:r>
      <w:r>
        <w:rPr>
          <w:rFonts w:hint="eastAsia"/>
          <w:lang w:eastAsia="zh-CN"/>
        </w:rPr>
        <w:t>重大生产安全事故隐患</w:t>
      </w:r>
      <w:r>
        <w:tab/>
      </w:r>
      <w:r>
        <w:fldChar w:fldCharType="begin"/>
      </w:r>
      <w:r>
        <w:instrText xml:space="preserve"> PAGEREF _Toc26742 </w:instrText>
      </w:r>
      <w:r>
        <w:fldChar w:fldCharType="separate"/>
      </w:r>
      <w:r>
        <w:t>16</w:t>
      </w:r>
      <w:r>
        <w:fldChar w:fldCharType="end"/>
      </w:r>
      <w:r>
        <w:fldChar w:fldCharType="end"/>
      </w:r>
    </w:p>
    <w:p>
      <w:pPr>
        <w:pStyle w:val="23"/>
      </w:pPr>
      <w:r>
        <w:fldChar w:fldCharType="begin"/>
      </w:r>
      <w:r>
        <w:instrText xml:space="preserve"> HYPERLINK \l _Toc12734 </w:instrText>
      </w:r>
      <w:r>
        <w:fldChar w:fldCharType="separate"/>
      </w:r>
      <w:r>
        <w:rPr>
          <w:rFonts w:hint="eastAsia"/>
        </w:rPr>
        <w:t>7</w:t>
      </w:r>
      <w:r>
        <w:t>.</w:t>
      </w:r>
      <w:r>
        <w:rPr>
          <w:rFonts w:hint="eastAsia"/>
        </w:rPr>
        <w:t>1</w:t>
      </w:r>
      <w:r>
        <w:t xml:space="preserve">  </w:t>
      </w:r>
      <w:r>
        <w:rPr>
          <w:rFonts w:hint="eastAsia"/>
          <w:lang w:eastAsia="zh-CN"/>
        </w:rPr>
        <w:t>施工准备</w:t>
      </w:r>
      <w:r>
        <w:tab/>
      </w:r>
      <w:r>
        <w:fldChar w:fldCharType="begin"/>
      </w:r>
      <w:r>
        <w:instrText xml:space="preserve"> PAGEREF _Toc12734 </w:instrText>
      </w:r>
      <w:r>
        <w:fldChar w:fldCharType="separate"/>
      </w:r>
      <w:r>
        <w:t>16</w:t>
      </w:r>
      <w:r>
        <w:fldChar w:fldCharType="end"/>
      </w:r>
      <w:r>
        <w:fldChar w:fldCharType="end"/>
      </w:r>
    </w:p>
    <w:p>
      <w:pPr>
        <w:pStyle w:val="23"/>
      </w:pPr>
      <w:r>
        <w:fldChar w:fldCharType="begin"/>
      </w:r>
      <w:r>
        <w:instrText xml:space="preserve"> HYPERLINK \l _Toc3069 </w:instrText>
      </w:r>
      <w:r>
        <w:fldChar w:fldCharType="separate"/>
      </w:r>
      <w:r>
        <w:rPr>
          <w:rFonts w:hint="eastAsia"/>
        </w:rPr>
        <w:t xml:space="preserve">7.2  </w:t>
      </w:r>
      <w:r>
        <w:rPr>
          <w:rFonts w:hint="eastAsia"/>
          <w:lang w:eastAsia="zh-CN"/>
        </w:rPr>
        <w:t>施工过程管理</w:t>
      </w:r>
      <w:r>
        <w:tab/>
      </w:r>
      <w:r>
        <w:fldChar w:fldCharType="begin"/>
      </w:r>
      <w:r>
        <w:instrText xml:space="preserve"> PAGEREF _Toc3069 </w:instrText>
      </w:r>
      <w:r>
        <w:fldChar w:fldCharType="separate"/>
      </w:r>
      <w:r>
        <w:t>16</w:t>
      </w:r>
      <w:r>
        <w:fldChar w:fldCharType="end"/>
      </w:r>
      <w:r>
        <w:fldChar w:fldCharType="end"/>
      </w:r>
    </w:p>
    <w:p>
      <w:pPr>
        <w:pStyle w:val="23"/>
      </w:pPr>
      <w:r>
        <w:fldChar w:fldCharType="begin"/>
      </w:r>
      <w:r>
        <w:instrText xml:space="preserve"> HYPERLINK \l _Toc30445 </w:instrText>
      </w:r>
      <w:r>
        <w:fldChar w:fldCharType="separate"/>
      </w:r>
      <w:r>
        <w:rPr>
          <w:rFonts w:hint="eastAsia"/>
          <w:lang w:eastAsia="zh-CN"/>
        </w:rPr>
        <w:t>附：</w:t>
      </w:r>
      <w:r>
        <w:rPr>
          <w:rFonts w:hint="eastAsia"/>
          <w:lang w:val="en-US" w:eastAsia="zh-CN"/>
        </w:rPr>
        <w:t>条文说明</w:t>
      </w:r>
      <w:r>
        <w:tab/>
      </w:r>
      <w:r>
        <w:fldChar w:fldCharType="begin"/>
      </w:r>
      <w:r>
        <w:instrText xml:space="preserve"> PAGEREF _Toc30445 </w:instrText>
      </w:r>
      <w:r>
        <w:fldChar w:fldCharType="separate"/>
      </w:r>
      <w:r>
        <w:t>18</w:t>
      </w:r>
      <w:r>
        <w:fldChar w:fldCharType="end"/>
      </w:r>
      <w:r>
        <w:fldChar w:fldCharType="end"/>
      </w:r>
    </w:p>
    <w:p>
      <w:pPr>
        <w:pStyle w:val="23"/>
        <w:rPr>
          <w:rFonts w:ascii="宋体"/>
        </w:rPr>
        <w:sectPr>
          <w:footerReference r:id="rId4" w:type="default"/>
          <w:pgSz w:w="11906" w:h="16838"/>
          <w:pgMar w:top="1440" w:right="1797" w:bottom="935" w:left="1797" w:header="851" w:footer="992" w:gutter="0"/>
          <w:pgNumType w:fmt="numberInDash"/>
          <w:cols w:space="720" w:num="1"/>
          <w:docGrid w:type="lines" w:linePitch="312" w:charSpace="0"/>
        </w:sectPr>
      </w:pPr>
      <w:r>
        <w:fldChar w:fldCharType="end"/>
      </w:r>
    </w:p>
    <w:p>
      <w:pPr>
        <w:pStyle w:val="2"/>
        <w:rPr>
          <w:kern w:val="0"/>
        </w:rPr>
      </w:pPr>
      <w:bookmarkStart w:id="5" w:name="_Toc14438"/>
      <w:r>
        <w:rPr>
          <w:kern w:val="0"/>
        </w:rPr>
        <w:t>1  总</w:t>
      </w:r>
      <w:r>
        <w:rPr>
          <w:rFonts w:hint="eastAsia"/>
          <w:kern w:val="0"/>
          <w:lang w:eastAsia="zh-CN"/>
        </w:rPr>
        <w:t xml:space="preserve">  </w:t>
      </w:r>
      <w:r>
        <w:rPr>
          <w:kern w:val="0"/>
        </w:rPr>
        <w:t>则</w:t>
      </w:r>
      <w:bookmarkEnd w:id="0"/>
      <w:bookmarkEnd w:id="5"/>
    </w:p>
    <w:p>
      <w:pPr>
        <w:tabs>
          <w:tab w:val="left" w:pos="142"/>
        </w:tabs>
        <w:spacing w:line="400" w:lineRule="exact"/>
        <w:ind w:right="-71" w:rightChars="-34"/>
        <w:rPr>
          <w:rFonts w:hAnsi="宋体"/>
        </w:rPr>
      </w:pPr>
      <w:r>
        <w:rPr>
          <w:b/>
        </w:rPr>
        <w:t>1.0.1</w:t>
      </w:r>
      <w:r>
        <w:rPr>
          <w:rFonts w:hint="eastAsia"/>
        </w:rPr>
        <w:t xml:space="preserve">  为遏制重特大事故为中心,</w:t>
      </w:r>
      <w:r>
        <w:rPr>
          <w:rFonts w:hint="eastAsia"/>
          <w:lang w:val="en-US" w:eastAsia="zh-CN"/>
        </w:rPr>
        <w:t>控制较大事故、</w:t>
      </w:r>
      <w:r>
        <w:rPr>
          <w:rFonts w:hint="eastAsia"/>
        </w:rPr>
        <w:t>全力压减一般事故</w:t>
      </w:r>
      <w:r>
        <w:rPr>
          <w:rFonts w:hint="eastAsia"/>
          <w:lang w:eastAsia="zh-CN"/>
        </w:rPr>
        <w:t>，</w:t>
      </w:r>
      <w:r>
        <w:rPr>
          <w:rFonts w:hint="eastAsia"/>
          <w:lang w:val="en-US" w:eastAsia="zh-CN"/>
        </w:rPr>
        <w:t>为</w:t>
      </w:r>
      <w:r>
        <w:rPr>
          <w:rFonts w:hint="eastAsia"/>
        </w:rPr>
        <w:t>施工现场</w:t>
      </w:r>
      <w:r>
        <w:rPr>
          <w:rFonts w:hint="eastAsia"/>
          <w:lang w:eastAsia="zh-CN"/>
        </w:rPr>
        <w:t>重大生产安全事故隐患</w:t>
      </w:r>
      <w:r>
        <w:rPr>
          <w:rFonts w:hint="eastAsia"/>
          <w:lang w:val="en-US" w:eastAsia="zh-CN"/>
        </w:rPr>
        <w:t>判定提供依据</w:t>
      </w:r>
      <w:r>
        <w:rPr>
          <w:rFonts w:hint="eastAsia"/>
          <w:lang w:eastAsia="zh-CN"/>
        </w:rPr>
        <w:t>，</w:t>
      </w:r>
      <w:r>
        <w:rPr>
          <w:rFonts w:hint="eastAsia"/>
        </w:rPr>
        <w:t>依据相关法律、法规和规范、标准编制本导则。</w:t>
      </w:r>
    </w:p>
    <w:p>
      <w:pPr>
        <w:tabs>
          <w:tab w:val="left" w:pos="142"/>
        </w:tabs>
        <w:spacing w:line="400" w:lineRule="exact"/>
        <w:ind w:right="-71" w:rightChars="-34"/>
        <w:rPr>
          <w:rFonts w:hint="eastAsia" w:hAnsi="宋体"/>
        </w:rPr>
      </w:pPr>
      <w:r>
        <w:rPr>
          <w:b/>
        </w:rPr>
        <w:t>1.0.</w:t>
      </w:r>
      <w:r>
        <w:rPr>
          <w:rFonts w:hint="eastAsia"/>
          <w:b/>
        </w:rPr>
        <w:t>2</w:t>
      </w:r>
      <w:r>
        <w:t xml:space="preserve">  </w:t>
      </w:r>
      <w:r>
        <w:rPr>
          <w:rFonts w:hint="eastAsia" w:hAnsi="宋体"/>
        </w:rPr>
        <w:t>本导则所述条款适用于</w:t>
      </w:r>
      <w:r>
        <w:rPr>
          <w:rFonts w:hint="eastAsia" w:hAnsi="宋体"/>
          <w:lang w:val="en-US" w:eastAsia="zh-CN"/>
        </w:rPr>
        <w:t>北京市行政区域内新建、改建、扩建和拆除的房屋建筑和市政基础设施工程</w:t>
      </w:r>
      <w:r>
        <w:rPr>
          <w:rFonts w:hint="eastAsia" w:hAnsi="宋体"/>
        </w:rPr>
        <w:t>施工现场</w:t>
      </w:r>
      <w:r>
        <w:rPr>
          <w:rFonts w:hint="eastAsia" w:hAnsi="宋体"/>
          <w:lang w:eastAsia="zh-CN"/>
        </w:rPr>
        <w:t>重大生产安全事故隐患</w:t>
      </w:r>
      <w:r>
        <w:rPr>
          <w:rFonts w:hint="eastAsia" w:hAnsi="宋体"/>
        </w:rPr>
        <w:t>的判定。</w:t>
      </w:r>
    </w:p>
    <w:p>
      <w:pPr>
        <w:tabs>
          <w:tab w:val="left" w:pos="142"/>
        </w:tabs>
        <w:spacing w:line="400" w:lineRule="exact"/>
        <w:ind w:right="-71" w:rightChars="-34"/>
        <w:rPr>
          <w:rFonts w:hAnsi="宋体"/>
        </w:rPr>
      </w:pPr>
      <w:r>
        <w:rPr>
          <w:rFonts w:hint="eastAsia" w:hAnsi="宋体"/>
          <w:b/>
        </w:rPr>
        <w:t xml:space="preserve">1.0.3  </w:t>
      </w:r>
      <w:r>
        <w:rPr>
          <w:rFonts w:hint="eastAsia" w:hAnsi="宋体"/>
        </w:rPr>
        <w:t>当存在</w:t>
      </w:r>
      <w:r>
        <w:rPr>
          <w:rFonts w:hint="eastAsia" w:hAnsi="宋体"/>
          <w:lang w:val="en-US" w:eastAsia="zh-CN"/>
        </w:rPr>
        <w:t>本导则描述条款</w:t>
      </w:r>
      <w:r>
        <w:rPr>
          <w:rFonts w:hint="eastAsia" w:hAnsi="宋体"/>
        </w:rPr>
        <w:t>情况之一时，</w:t>
      </w:r>
      <w:r>
        <w:rPr>
          <w:rFonts w:hint="eastAsia" w:hAnsi="宋体"/>
          <w:lang w:val="en-US" w:eastAsia="zh-CN"/>
        </w:rPr>
        <w:t>即</w:t>
      </w:r>
      <w:r>
        <w:rPr>
          <w:rFonts w:hint="eastAsia" w:hAnsi="宋体"/>
        </w:rPr>
        <w:t>判定为重大生产安全事故隐患。</w:t>
      </w:r>
    </w:p>
    <w:p>
      <w:pPr>
        <w:tabs>
          <w:tab w:val="left" w:pos="142"/>
        </w:tabs>
        <w:spacing w:line="400" w:lineRule="exact"/>
        <w:ind w:right="-71" w:rightChars="-34"/>
        <w:rPr>
          <w:rFonts w:hAnsi="宋体"/>
        </w:rPr>
      </w:pPr>
      <w:r>
        <w:rPr>
          <w:b/>
        </w:rPr>
        <w:t>1.0.</w:t>
      </w:r>
      <w:r>
        <w:rPr>
          <w:rFonts w:hint="eastAsia"/>
          <w:b/>
        </w:rPr>
        <w:t>4</w:t>
      </w:r>
      <w:r>
        <w:t xml:space="preserve">  </w:t>
      </w:r>
      <w:r>
        <w:rPr>
          <w:rFonts w:hint="eastAsia"/>
        </w:rPr>
        <w:t>施工现场</w:t>
      </w:r>
      <w:r>
        <w:rPr>
          <w:rFonts w:hint="eastAsia"/>
          <w:lang w:val="en-US" w:eastAsia="zh-CN"/>
        </w:rPr>
        <w:t>除不得违反本导则所列条款之外，</w:t>
      </w:r>
      <w:r>
        <w:rPr>
          <w:rFonts w:hint="eastAsia"/>
        </w:rPr>
        <w:t>尚</w:t>
      </w:r>
      <w:r>
        <w:rPr>
          <w:rFonts w:hint="eastAsia"/>
          <w:lang w:val="en-US" w:eastAsia="zh-CN"/>
        </w:rPr>
        <w:t>应遵守</w:t>
      </w:r>
      <w:r>
        <w:rPr>
          <w:rFonts w:hint="eastAsia"/>
        </w:rPr>
        <w:t>符合国家和北京市现行有关规定。</w:t>
      </w:r>
    </w:p>
    <w:p>
      <w:pPr>
        <w:pStyle w:val="2"/>
      </w:pPr>
      <w:r>
        <w:rPr>
          <w:rFonts w:ascii="仿宋_GB2312" w:eastAsia="仿宋_GB2312"/>
        </w:rPr>
        <w:br w:type="page"/>
      </w:r>
      <w:bookmarkStart w:id="6" w:name="_Toc27438"/>
      <w:bookmarkStart w:id="7" w:name="_Toc312309455"/>
      <w:r>
        <w:t>2  术</w:t>
      </w:r>
      <w:r>
        <w:rPr>
          <w:rFonts w:hint="eastAsia"/>
          <w:lang w:eastAsia="zh-CN"/>
        </w:rPr>
        <w:t xml:space="preserve">  </w:t>
      </w:r>
      <w:r>
        <w:t>语</w:t>
      </w:r>
      <w:bookmarkEnd w:id="6"/>
      <w:bookmarkEnd w:id="7"/>
      <w:bookmarkStart w:id="8" w:name="_Toc312309456"/>
    </w:p>
    <w:bookmarkEnd w:id="8"/>
    <w:p>
      <w:pPr>
        <w:spacing w:line="360" w:lineRule="exact"/>
        <w:ind w:right="210"/>
        <w:rPr>
          <w:rFonts w:hint="eastAsia" w:eastAsia="宋体"/>
          <w:b/>
          <w:szCs w:val="21"/>
          <w:lang w:eastAsia="zh-CN"/>
        </w:rPr>
      </w:pPr>
      <w:r>
        <w:rPr>
          <w:rFonts w:hint="eastAsia"/>
          <w:b/>
          <w:szCs w:val="21"/>
        </w:rPr>
        <w:t>2</w:t>
      </w:r>
      <w:r>
        <w:rPr>
          <w:rFonts w:hint="eastAsia" w:eastAsia="DotumChe"/>
          <w:b/>
          <w:szCs w:val="21"/>
        </w:rPr>
        <w:t>.0.1</w:t>
      </w:r>
      <w:r>
        <w:rPr>
          <w:rFonts w:hint="eastAsia"/>
          <w:b/>
          <w:szCs w:val="21"/>
        </w:rPr>
        <w:t xml:space="preserve">  </w:t>
      </w:r>
      <w:r>
        <w:rPr>
          <w:rFonts w:hint="eastAsia" w:ascii="宋体" w:hAnsi="宋体"/>
          <w:b/>
          <w:szCs w:val="21"/>
          <w:lang w:eastAsia="zh-CN"/>
        </w:rPr>
        <w:t>重大生产安全事故隐患</w:t>
      </w:r>
    </w:p>
    <w:p>
      <w:pPr>
        <w:spacing w:line="360" w:lineRule="exact"/>
        <w:ind w:right="210" w:firstLine="420" w:firstLineChars="200"/>
        <w:rPr>
          <w:rFonts w:ascii="宋体" w:hAnsi="宋体"/>
          <w:szCs w:val="21"/>
        </w:rPr>
      </w:pPr>
      <w:r>
        <w:rPr>
          <w:rFonts w:hint="eastAsia" w:ascii="宋体" w:hAnsi="宋体"/>
          <w:szCs w:val="21"/>
        </w:rPr>
        <w:t>指作</w:t>
      </w:r>
      <w:r>
        <w:rPr>
          <w:rFonts w:hint="eastAsia" w:ascii="宋体" w:hAnsi="宋体" w:cs="宋体"/>
          <w:szCs w:val="21"/>
        </w:rPr>
        <w:t>业场</w:t>
      </w:r>
      <w:r>
        <w:rPr>
          <w:rFonts w:hint="eastAsia" w:ascii="宋体" w:hAnsi="宋体" w:cs="DotumChe"/>
          <w:szCs w:val="21"/>
        </w:rPr>
        <w:t>所、</w:t>
      </w:r>
      <w:r>
        <w:rPr>
          <w:rFonts w:hint="eastAsia" w:ascii="宋体" w:hAnsi="宋体" w:cs="宋体"/>
          <w:szCs w:val="21"/>
        </w:rPr>
        <w:t>设备</w:t>
      </w:r>
      <w:r>
        <w:rPr>
          <w:rFonts w:hint="eastAsia" w:ascii="宋体" w:hAnsi="宋体" w:cs="DotumChe"/>
          <w:szCs w:val="21"/>
        </w:rPr>
        <w:t>、</w:t>
      </w:r>
      <w:r>
        <w:rPr>
          <w:rFonts w:hint="eastAsia" w:ascii="宋体" w:hAnsi="宋体" w:cs="宋体"/>
          <w:szCs w:val="21"/>
        </w:rPr>
        <w:t>设</w:t>
      </w:r>
      <w:r>
        <w:rPr>
          <w:rFonts w:hint="eastAsia" w:ascii="宋体" w:hAnsi="宋体" w:cs="DotumChe"/>
          <w:szCs w:val="21"/>
        </w:rPr>
        <w:t>施存在不安全</w:t>
      </w:r>
      <w:r>
        <w:rPr>
          <w:rFonts w:hint="eastAsia" w:ascii="宋体" w:hAnsi="宋体" w:cs="宋体"/>
          <w:szCs w:val="21"/>
        </w:rPr>
        <w:t>状态</w:t>
      </w:r>
      <w:r>
        <w:rPr>
          <w:rFonts w:hint="eastAsia" w:ascii="宋体" w:hAnsi="宋体" w:cs="DotumChe"/>
          <w:szCs w:val="21"/>
        </w:rPr>
        <w:t>以及人的不安全行</w:t>
      </w:r>
      <w:r>
        <w:rPr>
          <w:rFonts w:hint="eastAsia" w:ascii="宋体" w:hAnsi="宋体" w:cs="宋体"/>
          <w:szCs w:val="21"/>
        </w:rPr>
        <w:t>为</w:t>
      </w:r>
      <w:r>
        <w:rPr>
          <w:rFonts w:hint="eastAsia" w:ascii="宋体" w:hAnsi="宋体" w:cs="DotumChe"/>
          <w:szCs w:val="21"/>
        </w:rPr>
        <w:t>和管理上的缺陷，造成的危害后果</w:t>
      </w:r>
      <w:r>
        <w:rPr>
          <w:rFonts w:hint="eastAsia" w:ascii="宋体" w:hAnsi="宋体" w:cs="宋体"/>
          <w:szCs w:val="21"/>
        </w:rPr>
        <w:t>严</w:t>
      </w:r>
      <w:r>
        <w:rPr>
          <w:rFonts w:hint="eastAsia" w:ascii="宋体" w:hAnsi="宋体" w:cs="DotumChe"/>
          <w:szCs w:val="21"/>
        </w:rPr>
        <w:t>重</w:t>
      </w:r>
      <w:r>
        <w:rPr>
          <w:rFonts w:hint="eastAsia" w:ascii="宋体" w:hAnsi="宋体"/>
          <w:szCs w:val="21"/>
        </w:rPr>
        <w:t>，可能</w:t>
      </w:r>
      <w:r>
        <w:rPr>
          <w:rFonts w:hint="eastAsia" w:ascii="宋体" w:hAnsi="宋体" w:cs="宋体"/>
          <w:szCs w:val="21"/>
        </w:rPr>
        <w:t>导</w:t>
      </w:r>
      <w:r>
        <w:rPr>
          <w:rFonts w:hint="eastAsia" w:ascii="宋体" w:hAnsi="宋体" w:cs="DotumChe"/>
          <w:szCs w:val="21"/>
        </w:rPr>
        <w:t>致</w:t>
      </w:r>
      <w:r>
        <w:rPr>
          <w:rFonts w:hint="eastAsia" w:ascii="宋体" w:hAnsi="宋体" w:cs="宋体"/>
          <w:szCs w:val="21"/>
        </w:rPr>
        <w:t>较</w:t>
      </w:r>
      <w:r>
        <w:rPr>
          <w:rFonts w:hint="eastAsia" w:ascii="宋体" w:hAnsi="宋体" w:cs="DotumChe"/>
          <w:szCs w:val="21"/>
        </w:rPr>
        <w:t>大及以上</w:t>
      </w:r>
      <w:r>
        <w:rPr>
          <w:rFonts w:hint="eastAsia" w:ascii="宋体" w:hAnsi="宋体" w:cs="宋体"/>
          <w:szCs w:val="21"/>
        </w:rPr>
        <w:t>级别</w:t>
      </w:r>
      <w:r>
        <w:rPr>
          <w:rFonts w:hint="eastAsia" w:ascii="宋体" w:hAnsi="宋体" w:cs="DotumChe"/>
          <w:szCs w:val="21"/>
        </w:rPr>
        <w:t>的生</w:t>
      </w:r>
      <w:r>
        <w:rPr>
          <w:rFonts w:hint="eastAsia" w:ascii="宋体" w:hAnsi="宋体" w:cs="宋体"/>
          <w:szCs w:val="21"/>
        </w:rPr>
        <w:t>产</w:t>
      </w:r>
      <w:r>
        <w:rPr>
          <w:rFonts w:hint="eastAsia" w:ascii="宋体" w:hAnsi="宋体" w:cs="DotumChe"/>
          <w:szCs w:val="21"/>
        </w:rPr>
        <w:t>安全事故、重大</w:t>
      </w:r>
      <w:r>
        <w:rPr>
          <w:rFonts w:hint="eastAsia" w:ascii="宋体" w:hAnsi="宋体" w:cs="宋体"/>
          <w:szCs w:val="21"/>
        </w:rPr>
        <w:t>经济损</w:t>
      </w:r>
      <w:r>
        <w:rPr>
          <w:rFonts w:hint="eastAsia" w:ascii="宋体" w:hAnsi="宋体" w:cs="DotumChe"/>
          <w:szCs w:val="21"/>
        </w:rPr>
        <w:t>失或重大社</w:t>
      </w:r>
      <w:r>
        <w:rPr>
          <w:rFonts w:hint="eastAsia" w:ascii="宋体" w:hAnsi="宋体" w:cs="宋体"/>
          <w:szCs w:val="21"/>
        </w:rPr>
        <w:t>会</w:t>
      </w:r>
      <w:r>
        <w:rPr>
          <w:rFonts w:hint="eastAsia" w:ascii="宋体" w:hAnsi="宋体" w:cs="DotumChe"/>
          <w:szCs w:val="21"/>
        </w:rPr>
        <w:t>影</w:t>
      </w:r>
      <w:r>
        <w:rPr>
          <w:rFonts w:hint="eastAsia" w:ascii="宋体" w:hAnsi="宋体" w:cs="宋体"/>
          <w:szCs w:val="21"/>
        </w:rPr>
        <w:t>响</w:t>
      </w:r>
      <w:r>
        <w:rPr>
          <w:rFonts w:hint="eastAsia" w:ascii="宋体" w:hAnsi="宋体" w:cs="DotumChe"/>
          <w:szCs w:val="21"/>
        </w:rPr>
        <w:t>的事故</w:t>
      </w:r>
      <w:r>
        <w:rPr>
          <w:rFonts w:hint="eastAsia" w:ascii="宋体" w:hAnsi="宋体" w:cs="宋体"/>
          <w:szCs w:val="21"/>
        </w:rPr>
        <w:t>隐</w:t>
      </w:r>
      <w:r>
        <w:rPr>
          <w:rFonts w:hint="eastAsia" w:ascii="宋体" w:hAnsi="宋体" w:cs="DotumChe"/>
          <w:szCs w:val="21"/>
        </w:rPr>
        <w:t>患。</w:t>
      </w:r>
    </w:p>
    <w:p>
      <w:pPr>
        <w:spacing w:line="360" w:lineRule="exact"/>
        <w:ind w:right="210"/>
        <w:rPr>
          <w:rFonts w:eastAsia="DotumChe"/>
          <w:b/>
          <w:szCs w:val="21"/>
        </w:rPr>
      </w:pPr>
      <w:r>
        <w:rPr>
          <w:rFonts w:hint="eastAsia"/>
          <w:b/>
          <w:szCs w:val="21"/>
        </w:rPr>
        <w:t>2</w:t>
      </w:r>
      <w:r>
        <w:rPr>
          <w:rFonts w:hint="eastAsia" w:eastAsia="DotumChe"/>
          <w:b/>
          <w:szCs w:val="21"/>
        </w:rPr>
        <w:t>.0.2</w:t>
      </w:r>
      <w:r>
        <w:rPr>
          <w:rFonts w:hint="eastAsia"/>
          <w:b/>
          <w:szCs w:val="21"/>
        </w:rPr>
        <w:t xml:space="preserve">  </w:t>
      </w:r>
      <w:r>
        <w:rPr>
          <w:rFonts w:hint="eastAsia" w:ascii="宋体" w:hAnsi="宋体"/>
          <w:b/>
          <w:szCs w:val="21"/>
        </w:rPr>
        <w:t>危</w:t>
      </w:r>
      <w:r>
        <w:rPr>
          <w:rFonts w:hint="eastAsia" w:ascii="宋体" w:hAnsi="宋体" w:cs="宋体"/>
          <w:b/>
          <w:szCs w:val="21"/>
        </w:rPr>
        <w:t>险</w:t>
      </w:r>
      <w:r>
        <w:rPr>
          <w:rFonts w:hint="eastAsia" w:ascii="宋体" w:hAnsi="宋体" w:cs="DotumChe"/>
          <w:b/>
          <w:szCs w:val="21"/>
        </w:rPr>
        <w:t>性</w:t>
      </w:r>
      <w:r>
        <w:rPr>
          <w:rFonts w:hint="eastAsia" w:ascii="宋体" w:hAnsi="宋体" w:cs="宋体"/>
          <w:b/>
          <w:szCs w:val="21"/>
        </w:rPr>
        <w:t>较</w:t>
      </w:r>
      <w:r>
        <w:rPr>
          <w:rFonts w:hint="eastAsia" w:ascii="宋体" w:hAnsi="宋体" w:cs="DotumChe"/>
          <w:b/>
          <w:szCs w:val="21"/>
        </w:rPr>
        <w:t>大分部分</w:t>
      </w:r>
      <w:r>
        <w:rPr>
          <w:rFonts w:hint="eastAsia" w:ascii="宋体" w:hAnsi="宋体" w:cs="宋体"/>
          <w:b/>
          <w:szCs w:val="21"/>
        </w:rPr>
        <w:t>项</w:t>
      </w:r>
      <w:r>
        <w:rPr>
          <w:rFonts w:hint="eastAsia" w:ascii="宋体" w:hAnsi="宋体" w:cs="DotumChe"/>
          <w:b/>
          <w:szCs w:val="21"/>
        </w:rPr>
        <w:t>工程</w:t>
      </w:r>
    </w:p>
    <w:p>
      <w:pPr>
        <w:spacing w:line="360" w:lineRule="exact"/>
        <w:ind w:right="210" w:firstLine="420" w:firstLineChars="200"/>
        <w:rPr>
          <w:rFonts w:ascii="宋体" w:hAnsi="宋体"/>
          <w:szCs w:val="21"/>
        </w:rPr>
      </w:pPr>
      <w:r>
        <w:rPr>
          <w:rFonts w:ascii="宋体" w:hAnsi="宋体"/>
          <w:szCs w:val="21"/>
        </w:rPr>
        <w:t>指房屋建筑和市政基</w:t>
      </w:r>
      <w:r>
        <w:rPr>
          <w:rFonts w:hint="eastAsia" w:ascii="宋体" w:hAnsi="宋体" w:cs="宋体"/>
          <w:szCs w:val="21"/>
        </w:rPr>
        <w:t>础设</w:t>
      </w:r>
      <w:r>
        <w:rPr>
          <w:rFonts w:hint="eastAsia" w:ascii="宋体" w:hAnsi="宋体" w:cs="DotumChe"/>
          <w:szCs w:val="21"/>
        </w:rPr>
        <w:t>施工程在施工</w:t>
      </w:r>
      <w:r>
        <w:rPr>
          <w:rFonts w:hint="eastAsia" w:ascii="宋体" w:hAnsi="宋体" w:cs="宋体"/>
          <w:szCs w:val="21"/>
        </w:rPr>
        <w:t>过</w:t>
      </w:r>
      <w:r>
        <w:rPr>
          <w:rFonts w:hint="eastAsia" w:ascii="宋体" w:hAnsi="宋体" w:cs="DotumChe"/>
          <w:szCs w:val="21"/>
        </w:rPr>
        <w:t>程中，容易</w:t>
      </w:r>
      <w:r>
        <w:rPr>
          <w:rFonts w:hint="eastAsia" w:ascii="宋体" w:hAnsi="宋体" w:cs="宋体"/>
          <w:szCs w:val="21"/>
        </w:rPr>
        <w:t>导</w:t>
      </w:r>
      <w:r>
        <w:rPr>
          <w:rFonts w:hint="eastAsia" w:ascii="宋体" w:hAnsi="宋体" w:cs="DotumChe"/>
          <w:szCs w:val="21"/>
        </w:rPr>
        <w:t>致人</w:t>
      </w:r>
      <w:r>
        <w:rPr>
          <w:rFonts w:hint="eastAsia" w:ascii="宋体" w:hAnsi="宋体" w:cs="宋体"/>
          <w:szCs w:val="21"/>
        </w:rPr>
        <w:t>员</w:t>
      </w:r>
      <w:r>
        <w:rPr>
          <w:rFonts w:hint="eastAsia" w:ascii="宋体" w:hAnsi="宋体" w:cs="DotumChe"/>
          <w:szCs w:val="21"/>
        </w:rPr>
        <w:t>群死群</w:t>
      </w:r>
      <w:r>
        <w:rPr>
          <w:rFonts w:hint="eastAsia" w:ascii="宋体" w:hAnsi="宋体" w:cs="宋体"/>
          <w:szCs w:val="21"/>
        </w:rPr>
        <w:t>伤</w:t>
      </w:r>
      <w:r>
        <w:rPr>
          <w:rFonts w:hint="eastAsia" w:ascii="宋体" w:hAnsi="宋体" w:cs="DotumChe"/>
          <w:szCs w:val="21"/>
        </w:rPr>
        <w:t>或者造成重大</w:t>
      </w:r>
      <w:r>
        <w:rPr>
          <w:rFonts w:hint="eastAsia" w:ascii="宋体" w:hAnsi="宋体" w:cs="宋体"/>
          <w:szCs w:val="21"/>
        </w:rPr>
        <w:t>经济损</w:t>
      </w:r>
      <w:r>
        <w:rPr>
          <w:rFonts w:hint="eastAsia" w:ascii="宋体" w:hAnsi="宋体" w:cs="DotumChe"/>
          <w:szCs w:val="21"/>
        </w:rPr>
        <w:t>失的分部分</w:t>
      </w:r>
      <w:r>
        <w:rPr>
          <w:rFonts w:hint="eastAsia" w:ascii="宋体" w:hAnsi="宋体" w:cs="宋体"/>
          <w:szCs w:val="21"/>
        </w:rPr>
        <w:t>项</w:t>
      </w:r>
      <w:r>
        <w:rPr>
          <w:rFonts w:hint="eastAsia" w:ascii="宋体" w:hAnsi="宋体" w:cs="DotumChe"/>
          <w:szCs w:val="21"/>
        </w:rPr>
        <w:t>工程。</w:t>
      </w:r>
    </w:p>
    <w:p>
      <w:pPr>
        <w:spacing w:line="360" w:lineRule="exact"/>
        <w:ind w:right="210"/>
        <w:rPr>
          <w:rFonts w:eastAsia="DotumChe"/>
          <w:b/>
          <w:szCs w:val="21"/>
        </w:rPr>
      </w:pPr>
      <w:r>
        <w:rPr>
          <w:rFonts w:hint="eastAsia"/>
          <w:b/>
          <w:szCs w:val="21"/>
        </w:rPr>
        <w:t>2</w:t>
      </w:r>
      <w:r>
        <w:rPr>
          <w:rFonts w:hint="eastAsia" w:eastAsia="DotumChe"/>
          <w:b/>
          <w:szCs w:val="21"/>
        </w:rPr>
        <w:t>.0.3</w:t>
      </w:r>
      <w:r>
        <w:rPr>
          <w:rFonts w:hint="eastAsia"/>
          <w:b/>
          <w:szCs w:val="21"/>
        </w:rPr>
        <w:t xml:space="preserve">  </w:t>
      </w:r>
      <w:r>
        <w:rPr>
          <w:rFonts w:ascii="宋体" w:hAnsi="宋体"/>
          <w:b/>
          <w:szCs w:val="21"/>
        </w:rPr>
        <w:t>特</w:t>
      </w:r>
      <w:r>
        <w:rPr>
          <w:rFonts w:hint="eastAsia" w:ascii="宋体" w:hAnsi="宋体" w:cs="宋体"/>
          <w:b/>
          <w:szCs w:val="21"/>
        </w:rPr>
        <w:t>种</w:t>
      </w:r>
      <w:r>
        <w:rPr>
          <w:rFonts w:hint="eastAsia" w:ascii="宋体" w:hAnsi="宋体" w:cs="DotumChe"/>
          <w:b/>
          <w:szCs w:val="21"/>
        </w:rPr>
        <w:t>作</w:t>
      </w:r>
      <w:r>
        <w:rPr>
          <w:rFonts w:hint="eastAsia" w:ascii="宋体" w:hAnsi="宋体" w:cs="宋体"/>
          <w:b/>
          <w:szCs w:val="21"/>
        </w:rPr>
        <w:t>业</w:t>
      </w:r>
      <w:r>
        <w:rPr>
          <w:rFonts w:hint="eastAsia" w:ascii="宋体" w:hAnsi="宋体" w:cs="DotumChe"/>
          <w:b/>
          <w:szCs w:val="21"/>
        </w:rPr>
        <w:t>人</w:t>
      </w:r>
      <w:r>
        <w:rPr>
          <w:rFonts w:hint="eastAsia" w:ascii="宋体" w:hAnsi="宋体" w:cs="宋体"/>
          <w:b/>
          <w:szCs w:val="21"/>
        </w:rPr>
        <w:t>员</w:t>
      </w:r>
    </w:p>
    <w:p>
      <w:pPr>
        <w:spacing w:line="360" w:lineRule="exact"/>
        <w:ind w:right="210" w:firstLine="420" w:firstLineChars="200"/>
        <w:rPr>
          <w:rFonts w:ascii="宋体" w:hAnsi="宋体"/>
          <w:szCs w:val="21"/>
        </w:rPr>
      </w:pPr>
      <w:r>
        <w:rPr>
          <w:rFonts w:hint="eastAsia" w:ascii="宋体" w:hAnsi="宋体" w:cs="宋体"/>
          <w:szCs w:val="21"/>
        </w:rPr>
        <w:t>从</w:t>
      </w:r>
      <w:r>
        <w:rPr>
          <w:rFonts w:hint="eastAsia" w:ascii="宋体" w:hAnsi="宋体" w:cs="DotumChe"/>
          <w:szCs w:val="21"/>
        </w:rPr>
        <w:t>事</w:t>
      </w:r>
      <w:r>
        <w:rPr>
          <w:rFonts w:ascii="宋体" w:hAnsi="宋体"/>
          <w:szCs w:val="21"/>
        </w:rPr>
        <w:t>特</w:t>
      </w:r>
      <w:r>
        <w:rPr>
          <w:rFonts w:hint="eastAsia" w:ascii="宋体" w:hAnsi="宋体" w:cs="宋体"/>
          <w:szCs w:val="21"/>
        </w:rPr>
        <w:t>种</w:t>
      </w:r>
      <w:r>
        <w:rPr>
          <w:rFonts w:hint="eastAsia" w:ascii="宋体" w:hAnsi="宋体" w:cs="DotumChe"/>
          <w:szCs w:val="21"/>
        </w:rPr>
        <w:t>作</w:t>
      </w:r>
      <w:r>
        <w:rPr>
          <w:rFonts w:hint="eastAsia" w:ascii="宋体" w:hAnsi="宋体" w:cs="宋体"/>
          <w:szCs w:val="21"/>
        </w:rPr>
        <w:t>业</w:t>
      </w:r>
      <w:r>
        <w:rPr>
          <w:rFonts w:hint="eastAsia" w:ascii="宋体" w:hAnsi="宋体" w:cs="DotumChe"/>
          <w:szCs w:val="21"/>
        </w:rPr>
        <w:t>人</w:t>
      </w:r>
      <w:r>
        <w:rPr>
          <w:rFonts w:hint="eastAsia" w:ascii="宋体" w:hAnsi="宋体" w:cs="宋体"/>
          <w:szCs w:val="21"/>
        </w:rPr>
        <w:t>员岗</w:t>
      </w:r>
      <w:r>
        <w:rPr>
          <w:rFonts w:hint="eastAsia" w:ascii="宋体" w:hAnsi="宋体" w:cs="DotumChe"/>
          <w:szCs w:val="21"/>
        </w:rPr>
        <w:t>位</w:t>
      </w:r>
      <w:r>
        <w:rPr>
          <w:rFonts w:hint="eastAsia" w:ascii="宋体" w:hAnsi="宋体" w:cs="宋体"/>
          <w:szCs w:val="21"/>
        </w:rPr>
        <w:t>类别</w:t>
      </w:r>
      <w:r>
        <w:rPr>
          <w:rFonts w:hint="eastAsia" w:ascii="宋体" w:hAnsi="宋体" w:cs="DotumChe"/>
          <w:szCs w:val="21"/>
        </w:rPr>
        <w:t>的</w:t>
      </w:r>
      <w:r>
        <w:rPr>
          <w:rFonts w:hint="eastAsia" w:ascii="宋体" w:hAnsi="宋体" w:cs="宋体"/>
          <w:szCs w:val="21"/>
        </w:rPr>
        <w:t>统称</w:t>
      </w:r>
      <w:r>
        <w:rPr>
          <w:rFonts w:hint="eastAsia" w:ascii="宋体" w:hAnsi="宋体" w:cs="DotumChe"/>
          <w:szCs w:val="21"/>
        </w:rPr>
        <w:t>，是指容易</w:t>
      </w:r>
      <w:r>
        <w:rPr>
          <w:rFonts w:hint="eastAsia" w:ascii="宋体" w:hAnsi="宋体" w:cs="宋体"/>
          <w:szCs w:val="21"/>
        </w:rPr>
        <w:t>发</w:t>
      </w:r>
      <w:r>
        <w:rPr>
          <w:rFonts w:hint="eastAsia" w:ascii="宋体" w:hAnsi="宋体" w:cs="DotumChe"/>
          <w:szCs w:val="21"/>
        </w:rPr>
        <w:t>生人</w:t>
      </w:r>
      <w:r>
        <w:rPr>
          <w:rFonts w:hint="eastAsia" w:ascii="宋体" w:hAnsi="宋体" w:cs="宋体"/>
          <w:szCs w:val="21"/>
        </w:rPr>
        <w:t>员伤</w:t>
      </w:r>
      <w:r>
        <w:rPr>
          <w:rFonts w:hint="eastAsia" w:ascii="宋体" w:hAnsi="宋体" w:cs="DotumChe"/>
          <w:szCs w:val="21"/>
        </w:rPr>
        <w:t>亡事故，</w:t>
      </w:r>
      <w:r>
        <w:rPr>
          <w:rFonts w:hint="eastAsia" w:ascii="宋体" w:hAnsi="宋体" w:cs="宋体"/>
          <w:szCs w:val="21"/>
        </w:rPr>
        <w:t>对</w:t>
      </w:r>
      <w:r>
        <w:rPr>
          <w:rFonts w:hint="eastAsia" w:ascii="宋体" w:hAnsi="宋体" w:cs="DotumChe"/>
          <w:szCs w:val="21"/>
        </w:rPr>
        <w:t>操作者本人、他人及周</w:t>
      </w:r>
      <w:r>
        <w:rPr>
          <w:rFonts w:hint="eastAsia" w:ascii="宋体" w:hAnsi="宋体" w:cs="宋体"/>
          <w:szCs w:val="21"/>
        </w:rPr>
        <w:t>围设</w:t>
      </w:r>
      <w:r>
        <w:rPr>
          <w:rFonts w:hint="eastAsia" w:ascii="宋体" w:hAnsi="宋体" w:cs="DotumChe"/>
          <w:szCs w:val="21"/>
        </w:rPr>
        <w:t>施的安全有重大危害的工</w:t>
      </w:r>
      <w:r>
        <w:rPr>
          <w:rFonts w:hint="eastAsia" w:ascii="宋体" w:hAnsi="宋体" w:cs="宋体"/>
          <w:szCs w:val="21"/>
        </w:rPr>
        <w:t>种</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.0.4</w:t>
      </w:r>
      <w:r>
        <w:rPr>
          <w:rFonts w:hint="eastAsia"/>
          <w:b/>
          <w:szCs w:val="21"/>
        </w:rPr>
        <w:t xml:space="preserve">  </w:t>
      </w:r>
      <w:r>
        <w:rPr>
          <w:rFonts w:hint="eastAsia" w:ascii="宋体" w:hAnsi="宋体"/>
          <w:b/>
          <w:szCs w:val="21"/>
        </w:rPr>
        <w:t>高</w:t>
      </w:r>
      <w:r>
        <w:rPr>
          <w:rFonts w:hint="eastAsia" w:ascii="宋体" w:hAnsi="宋体" w:cs="宋体"/>
          <w:b/>
          <w:szCs w:val="21"/>
        </w:rPr>
        <w:t>处</w:t>
      </w:r>
      <w:r>
        <w:rPr>
          <w:rFonts w:hint="eastAsia" w:ascii="宋体" w:hAnsi="宋体" w:cs="DotumChe"/>
          <w:b/>
          <w:szCs w:val="21"/>
        </w:rPr>
        <w:t>作</w:t>
      </w:r>
      <w:r>
        <w:rPr>
          <w:rFonts w:hint="eastAsia" w:ascii="宋体" w:hAnsi="宋体" w:cs="宋体"/>
          <w:b/>
          <w:szCs w:val="21"/>
        </w:rPr>
        <w:t>业</w:t>
      </w:r>
    </w:p>
    <w:p>
      <w:pPr>
        <w:spacing w:line="360" w:lineRule="exact"/>
        <w:ind w:right="210" w:firstLine="420" w:firstLineChars="200"/>
        <w:rPr>
          <w:rFonts w:ascii="宋体" w:hAnsi="宋体"/>
          <w:szCs w:val="21"/>
        </w:rPr>
      </w:pPr>
      <w:r>
        <w:rPr>
          <w:rFonts w:ascii="宋体" w:hAnsi="宋体"/>
          <w:szCs w:val="21"/>
        </w:rPr>
        <w:t>凡在</w:t>
      </w:r>
      <w:r>
        <w:rPr>
          <w:rFonts w:hint="eastAsia" w:ascii="宋体" w:hAnsi="宋体" w:cs="宋体"/>
          <w:szCs w:val="21"/>
        </w:rPr>
        <w:t>坠</w:t>
      </w:r>
      <w:r>
        <w:rPr>
          <w:rFonts w:hint="eastAsia" w:ascii="宋体" w:hAnsi="宋体" w:cs="DotumChe"/>
          <w:szCs w:val="21"/>
        </w:rPr>
        <w:t>落</w:t>
      </w:r>
      <w:r>
        <w:rPr>
          <w:rFonts w:ascii="宋体" w:hAnsi="宋体"/>
          <w:szCs w:val="21"/>
        </w:rPr>
        <w:t>高度基准面2</w:t>
      </w:r>
      <w:r>
        <w:rPr>
          <w:rFonts w:hint="eastAsia" w:ascii="宋体" w:hAnsi="宋体"/>
          <w:szCs w:val="21"/>
          <w:lang w:eastAsia="zh-CN"/>
        </w:rPr>
        <w:t>m</w:t>
      </w:r>
      <w:r>
        <w:rPr>
          <w:rFonts w:hint="eastAsia" w:ascii="宋体" w:hAnsi="宋体"/>
          <w:szCs w:val="21"/>
        </w:rPr>
        <w:t>及</w:t>
      </w:r>
      <w:r>
        <w:rPr>
          <w:rFonts w:ascii="宋体" w:hAnsi="宋体"/>
          <w:szCs w:val="21"/>
        </w:rPr>
        <w:t>以上有可能</w:t>
      </w:r>
      <w:r>
        <w:rPr>
          <w:rFonts w:hint="eastAsia" w:ascii="宋体" w:hAnsi="宋体" w:cs="宋体"/>
          <w:szCs w:val="21"/>
        </w:rPr>
        <w:t>坠</w:t>
      </w:r>
      <w:r>
        <w:rPr>
          <w:rFonts w:hint="eastAsia" w:ascii="宋体" w:hAnsi="宋体" w:cs="DotumChe"/>
          <w:szCs w:val="21"/>
        </w:rPr>
        <w:t>落的高</w:t>
      </w:r>
      <w:r>
        <w:rPr>
          <w:rFonts w:hint="eastAsia" w:ascii="宋体" w:hAnsi="宋体" w:cs="宋体"/>
          <w:szCs w:val="21"/>
        </w:rPr>
        <w:t>处进</w:t>
      </w:r>
      <w:r>
        <w:rPr>
          <w:rFonts w:hint="eastAsia" w:ascii="宋体" w:hAnsi="宋体" w:cs="DotumChe"/>
          <w:szCs w:val="21"/>
        </w:rPr>
        <w:t>行的作</w:t>
      </w:r>
      <w:r>
        <w:rPr>
          <w:rFonts w:hint="eastAsia" w:ascii="宋体" w:hAnsi="宋体" w:cs="宋体"/>
          <w:szCs w:val="21"/>
        </w:rPr>
        <w:t>业称为高处作业</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.0.5</w:t>
      </w:r>
      <w:r>
        <w:rPr>
          <w:rFonts w:hint="eastAsia"/>
          <w:b/>
          <w:szCs w:val="21"/>
        </w:rPr>
        <w:t xml:space="preserve">  </w:t>
      </w:r>
      <w:r>
        <w:rPr>
          <w:rFonts w:hint="eastAsia" w:ascii="宋体" w:hAnsi="宋体" w:cs="宋体"/>
          <w:b/>
          <w:szCs w:val="21"/>
        </w:rPr>
        <w:t>悬</w:t>
      </w:r>
      <w:r>
        <w:rPr>
          <w:rFonts w:hint="eastAsia" w:ascii="宋体" w:hAnsi="宋体" w:cs="DotumChe"/>
          <w:b/>
          <w:szCs w:val="21"/>
        </w:rPr>
        <w:t>挑式操作平台</w:t>
      </w:r>
    </w:p>
    <w:p>
      <w:pPr>
        <w:spacing w:line="360" w:lineRule="exact"/>
        <w:ind w:right="210" w:firstLine="420" w:firstLineChars="200"/>
        <w:rPr>
          <w:rFonts w:ascii="宋体" w:hAnsi="宋体"/>
          <w:szCs w:val="21"/>
        </w:rPr>
      </w:pPr>
      <w:r>
        <w:rPr>
          <w:rFonts w:hint="eastAsia" w:ascii="宋体" w:hAnsi="宋体"/>
          <w:szCs w:val="21"/>
        </w:rPr>
        <w:t>以悬挑形式搁置或固定在建筑物结构边沿的操作平台。</w:t>
      </w:r>
    </w:p>
    <w:p>
      <w:pPr>
        <w:spacing w:line="360" w:lineRule="exact"/>
        <w:ind w:right="210"/>
        <w:rPr>
          <w:rFonts w:eastAsia="DotumChe"/>
          <w:b/>
          <w:szCs w:val="21"/>
        </w:rPr>
      </w:pPr>
      <w:r>
        <w:rPr>
          <w:rFonts w:hint="eastAsia"/>
          <w:b/>
          <w:szCs w:val="21"/>
        </w:rPr>
        <w:t>2</w:t>
      </w:r>
      <w:r>
        <w:rPr>
          <w:rFonts w:hint="eastAsia" w:eastAsia="DotumChe"/>
          <w:b/>
          <w:szCs w:val="21"/>
        </w:rPr>
        <w:t>.0.6</w:t>
      </w:r>
      <w:r>
        <w:rPr>
          <w:rFonts w:hint="eastAsia"/>
          <w:b/>
          <w:szCs w:val="21"/>
        </w:rPr>
        <w:t xml:space="preserve">  </w:t>
      </w:r>
      <w:r>
        <w:rPr>
          <w:rFonts w:hint="eastAsia" w:ascii="宋体" w:hAnsi="宋体"/>
          <w:b/>
          <w:szCs w:val="21"/>
        </w:rPr>
        <w:t>附着式升降脚手架</w:t>
      </w:r>
    </w:p>
    <w:p>
      <w:pPr>
        <w:spacing w:line="360" w:lineRule="exact"/>
        <w:ind w:right="210" w:firstLine="420" w:firstLineChars="200"/>
        <w:rPr>
          <w:rFonts w:ascii="宋体" w:hAnsi="宋体"/>
          <w:szCs w:val="21"/>
        </w:rPr>
      </w:pPr>
      <w:r>
        <w:rPr>
          <w:rFonts w:ascii="宋体" w:hAnsi="宋体"/>
          <w:szCs w:val="21"/>
        </w:rPr>
        <w:t>附着于</w:t>
      </w:r>
      <w:r>
        <w:rPr>
          <w:rFonts w:hint="eastAsia" w:ascii="宋体" w:hAnsi="宋体"/>
          <w:szCs w:val="21"/>
        </w:rPr>
        <w:t>建筑</w:t>
      </w:r>
      <w:r>
        <w:rPr>
          <w:rFonts w:hint="eastAsia" w:ascii="宋体" w:hAnsi="宋体" w:cs="宋体"/>
          <w:szCs w:val="21"/>
        </w:rPr>
        <w:t>结构</w:t>
      </w:r>
      <w:r>
        <w:rPr>
          <w:rFonts w:hint="eastAsia" w:ascii="宋体" w:hAnsi="宋体" w:cs="DotumChe"/>
          <w:szCs w:val="21"/>
        </w:rPr>
        <w:t>上，依靠自身的升降</w:t>
      </w:r>
      <w:r>
        <w:rPr>
          <w:rFonts w:hint="eastAsia" w:ascii="宋体" w:hAnsi="宋体" w:cs="宋体"/>
          <w:szCs w:val="21"/>
        </w:rPr>
        <w:t>设备</w:t>
      </w:r>
      <w:r>
        <w:rPr>
          <w:rFonts w:hint="eastAsia" w:ascii="宋体" w:hAnsi="宋体" w:cs="DotumChe"/>
          <w:szCs w:val="21"/>
        </w:rPr>
        <w:t>和装置，可</w:t>
      </w:r>
      <w:r>
        <w:rPr>
          <w:rFonts w:hint="eastAsia" w:ascii="宋体" w:hAnsi="宋体" w:cs="宋体"/>
          <w:szCs w:val="21"/>
        </w:rPr>
        <w:t>随</w:t>
      </w:r>
      <w:r>
        <w:rPr>
          <w:rFonts w:hint="eastAsia" w:ascii="宋体" w:hAnsi="宋体" w:cs="DotumChe"/>
          <w:szCs w:val="21"/>
        </w:rPr>
        <w:t>工程</w:t>
      </w:r>
      <w:r>
        <w:rPr>
          <w:rFonts w:hint="eastAsia" w:ascii="宋体" w:hAnsi="宋体" w:cs="宋体"/>
          <w:szCs w:val="21"/>
        </w:rPr>
        <w:t>结构</w:t>
      </w:r>
      <w:r>
        <w:rPr>
          <w:rFonts w:hint="eastAsia" w:ascii="宋体" w:hAnsi="宋体"/>
          <w:szCs w:val="21"/>
        </w:rPr>
        <w:t>施工需要，</w:t>
      </w:r>
      <w:r>
        <w:rPr>
          <w:rFonts w:ascii="宋体" w:hAnsi="宋体"/>
          <w:szCs w:val="21"/>
        </w:rPr>
        <w:t>逐</w:t>
      </w:r>
      <w:r>
        <w:rPr>
          <w:rFonts w:hint="eastAsia" w:ascii="宋体" w:hAnsi="宋体" w:cs="宋体"/>
          <w:szCs w:val="21"/>
        </w:rPr>
        <w:t>层</w:t>
      </w:r>
      <w:r>
        <w:rPr>
          <w:rFonts w:hint="eastAsia" w:ascii="宋体" w:hAnsi="宋体" w:cs="DotumChe"/>
          <w:szCs w:val="21"/>
        </w:rPr>
        <w:t>爬升</w:t>
      </w:r>
      <w:r>
        <w:rPr>
          <w:rFonts w:hint="eastAsia" w:ascii="宋体" w:hAnsi="宋体"/>
          <w:szCs w:val="21"/>
        </w:rPr>
        <w:t>或下降的</w:t>
      </w:r>
      <w:r>
        <w:rPr>
          <w:rFonts w:ascii="宋体" w:hAnsi="宋体"/>
          <w:szCs w:val="21"/>
        </w:rPr>
        <w:t>外脚手架</w:t>
      </w:r>
      <w:r>
        <w:rPr>
          <w:rFonts w:hint="eastAsia" w:ascii="宋体" w:hAnsi="宋体"/>
          <w:szCs w:val="21"/>
        </w:rPr>
        <w:t>。主要</w:t>
      </w:r>
      <w:r>
        <w:rPr>
          <w:rFonts w:ascii="宋体" w:hAnsi="宋体"/>
          <w:szCs w:val="21"/>
        </w:rPr>
        <w:t>由</w:t>
      </w:r>
      <w:r>
        <w:rPr>
          <w:rFonts w:hint="eastAsia" w:ascii="宋体" w:hAnsi="宋体" w:cs="宋体"/>
          <w:szCs w:val="21"/>
        </w:rPr>
        <w:t>竖</w:t>
      </w:r>
      <w:r>
        <w:rPr>
          <w:rFonts w:hint="eastAsia" w:ascii="宋体" w:hAnsi="宋体" w:cs="DotumChe"/>
          <w:szCs w:val="21"/>
        </w:rPr>
        <w:t>向主框架、水平支</w:t>
      </w:r>
      <w:r>
        <w:rPr>
          <w:rFonts w:hint="eastAsia" w:ascii="宋体" w:hAnsi="宋体"/>
          <w:szCs w:val="21"/>
        </w:rPr>
        <w:t>承</w:t>
      </w:r>
      <w:r>
        <w:rPr>
          <w:rFonts w:hint="eastAsia" w:ascii="宋体" w:hAnsi="宋体" w:cs="宋体"/>
          <w:szCs w:val="21"/>
        </w:rPr>
        <w:t>结构</w:t>
      </w:r>
      <w:r>
        <w:rPr>
          <w:rFonts w:ascii="宋体" w:hAnsi="宋体"/>
          <w:szCs w:val="21"/>
        </w:rPr>
        <w:t>、架体</w:t>
      </w:r>
      <w:r>
        <w:rPr>
          <w:rFonts w:hint="eastAsia" w:ascii="宋体" w:hAnsi="宋体" w:cs="宋体"/>
          <w:szCs w:val="21"/>
        </w:rPr>
        <w:t>构</w:t>
      </w:r>
      <w:r>
        <w:rPr>
          <w:rFonts w:hint="eastAsia" w:ascii="宋体" w:hAnsi="宋体" w:cs="DotumChe"/>
          <w:szCs w:val="21"/>
        </w:rPr>
        <w:t>架、附着支承、防</w:t>
      </w:r>
      <w:r>
        <w:rPr>
          <w:rFonts w:hint="eastAsia" w:ascii="宋体" w:hAnsi="宋体" w:cs="宋体"/>
          <w:szCs w:val="21"/>
        </w:rPr>
        <w:t>倾</w:t>
      </w:r>
      <w:r>
        <w:rPr>
          <w:rFonts w:hint="eastAsia" w:ascii="宋体" w:hAnsi="宋体"/>
          <w:szCs w:val="21"/>
        </w:rPr>
        <w:t>覆装置</w:t>
      </w:r>
      <w:r>
        <w:rPr>
          <w:rFonts w:ascii="宋体" w:hAnsi="宋体"/>
          <w:szCs w:val="21"/>
        </w:rPr>
        <w:t>、防</w:t>
      </w:r>
      <w:r>
        <w:rPr>
          <w:rFonts w:hint="eastAsia" w:ascii="宋体" w:hAnsi="宋体" w:cs="宋体"/>
          <w:szCs w:val="21"/>
        </w:rPr>
        <w:t>坠</w:t>
      </w:r>
      <w:r>
        <w:rPr>
          <w:rFonts w:hint="eastAsia" w:ascii="宋体" w:hAnsi="宋体"/>
          <w:szCs w:val="21"/>
        </w:rPr>
        <w:t>落</w:t>
      </w:r>
      <w:r>
        <w:rPr>
          <w:rFonts w:ascii="宋体" w:hAnsi="宋体"/>
          <w:szCs w:val="21"/>
        </w:rPr>
        <w:t>装置</w:t>
      </w:r>
      <w:r>
        <w:rPr>
          <w:rFonts w:hint="eastAsia" w:ascii="宋体" w:hAnsi="宋体"/>
          <w:szCs w:val="21"/>
        </w:rPr>
        <w:t>、升降机</w:t>
      </w:r>
      <w:r>
        <w:rPr>
          <w:rFonts w:hint="eastAsia" w:ascii="宋体" w:hAnsi="宋体" w:cs="宋体"/>
          <w:szCs w:val="21"/>
        </w:rPr>
        <w:t>构</w:t>
      </w:r>
      <w:r>
        <w:rPr>
          <w:rFonts w:hint="eastAsia" w:ascii="宋体" w:hAnsi="宋体" w:cs="DotumChe"/>
          <w:szCs w:val="21"/>
        </w:rPr>
        <w:t>和同步控制装置等</w:t>
      </w:r>
      <w:r>
        <w:rPr>
          <w:rFonts w:hint="eastAsia" w:ascii="宋体" w:hAnsi="宋体" w:cs="宋体"/>
          <w:szCs w:val="21"/>
        </w:rPr>
        <w:t>组</w:t>
      </w:r>
      <w:r>
        <w:rPr>
          <w:rFonts w:hint="eastAsia" w:ascii="宋体" w:hAnsi="宋体" w:cs="DotumChe"/>
          <w:szCs w:val="21"/>
        </w:rPr>
        <w:t>成</w:t>
      </w:r>
      <w:r>
        <w:rPr>
          <w:rFonts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.0.7</w:t>
      </w:r>
      <w:r>
        <w:rPr>
          <w:rFonts w:hint="eastAsia"/>
          <w:b/>
          <w:szCs w:val="21"/>
        </w:rPr>
        <w:t xml:space="preserve">  </w:t>
      </w:r>
      <w:r>
        <w:rPr>
          <w:b/>
          <w:szCs w:val="21"/>
        </w:rPr>
        <w:t>TN-S</w:t>
      </w:r>
      <w:r>
        <w:rPr>
          <w:rFonts w:hint="eastAsia" w:ascii="宋体" w:hAnsi="宋体"/>
          <w:b/>
          <w:szCs w:val="21"/>
        </w:rPr>
        <w:t>接零保</w:t>
      </w:r>
      <w:r>
        <w:rPr>
          <w:rFonts w:hint="eastAsia" w:ascii="宋体" w:hAnsi="宋体" w:cs="宋体"/>
          <w:b/>
          <w:szCs w:val="21"/>
        </w:rPr>
        <w:t>护</w:t>
      </w:r>
      <w:r>
        <w:rPr>
          <w:rFonts w:hint="eastAsia" w:ascii="宋体" w:hAnsi="宋体" w:cs="DotumChe"/>
          <w:b/>
          <w:szCs w:val="21"/>
        </w:rPr>
        <w:t>系</w:t>
      </w:r>
      <w:r>
        <w:rPr>
          <w:rFonts w:hint="eastAsia" w:ascii="宋体" w:hAnsi="宋体" w:cs="宋体"/>
          <w:b/>
          <w:szCs w:val="21"/>
        </w:rPr>
        <w:t>统</w:t>
      </w:r>
    </w:p>
    <w:p>
      <w:pPr>
        <w:spacing w:line="360" w:lineRule="exact"/>
        <w:ind w:right="210" w:firstLine="420" w:firstLineChars="200"/>
        <w:rPr>
          <w:rFonts w:ascii="宋体" w:hAnsi="宋体"/>
          <w:szCs w:val="21"/>
        </w:rPr>
      </w:pPr>
      <w:r>
        <w:rPr>
          <w:rFonts w:hint="eastAsia" w:ascii="宋体" w:hAnsi="宋体"/>
          <w:szCs w:val="21"/>
        </w:rPr>
        <w:t>工作零</w:t>
      </w:r>
      <w:r>
        <w:rPr>
          <w:rFonts w:hint="eastAsia" w:ascii="宋体" w:hAnsi="宋体" w:cs="宋体"/>
          <w:szCs w:val="21"/>
        </w:rPr>
        <w:t>线与</w:t>
      </w:r>
      <w:r>
        <w:rPr>
          <w:rFonts w:hint="eastAsia" w:ascii="宋体" w:hAnsi="宋体" w:cs="DotumChe"/>
          <w:szCs w:val="21"/>
        </w:rPr>
        <w:t>保</w:t>
      </w:r>
      <w:r>
        <w:rPr>
          <w:rFonts w:hint="eastAsia" w:ascii="宋体" w:hAnsi="宋体" w:cs="宋体"/>
          <w:szCs w:val="21"/>
        </w:rPr>
        <w:t>护</w:t>
      </w:r>
      <w:r>
        <w:rPr>
          <w:rFonts w:hint="eastAsia" w:ascii="宋体" w:hAnsi="宋体" w:cs="DotumChe"/>
          <w:szCs w:val="21"/>
        </w:rPr>
        <w:t>零</w:t>
      </w:r>
      <w:r>
        <w:rPr>
          <w:rFonts w:hint="eastAsia" w:ascii="宋体" w:hAnsi="宋体" w:cs="宋体"/>
          <w:szCs w:val="21"/>
        </w:rPr>
        <w:t>线</w:t>
      </w:r>
      <w:r>
        <w:rPr>
          <w:rFonts w:hint="eastAsia" w:ascii="宋体" w:hAnsi="宋体" w:cs="DotumChe"/>
          <w:szCs w:val="21"/>
        </w:rPr>
        <w:t>分</w:t>
      </w:r>
      <w:r>
        <w:rPr>
          <w:rFonts w:hint="eastAsia" w:ascii="宋体" w:hAnsi="宋体" w:cs="宋体"/>
          <w:szCs w:val="21"/>
        </w:rPr>
        <w:t>开设</w:t>
      </w:r>
      <w:r>
        <w:rPr>
          <w:rFonts w:hint="eastAsia" w:ascii="宋体" w:hAnsi="宋体" w:cs="DotumChe"/>
          <w:szCs w:val="21"/>
        </w:rPr>
        <w:t>置的接零保</w:t>
      </w:r>
      <w:r>
        <w:rPr>
          <w:rFonts w:hint="eastAsia" w:ascii="宋体" w:hAnsi="宋体" w:cs="宋体"/>
          <w:szCs w:val="21"/>
        </w:rPr>
        <w:t>护</w:t>
      </w:r>
      <w:r>
        <w:rPr>
          <w:rFonts w:hint="eastAsia" w:ascii="宋体" w:hAnsi="宋体" w:cs="DotumChe"/>
          <w:szCs w:val="21"/>
        </w:rPr>
        <w:t>系</w:t>
      </w:r>
      <w:r>
        <w:rPr>
          <w:rFonts w:hint="eastAsia" w:ascii="宋体" w:hAnsi="宋体" w:cs="宋体"/>
          <w:szCs w:val="21"/>
        </w:rPr>
        <w:t>统</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.0.8</w:t>
      </w:r>
      <w:r>
        <w:rPr>
          <w:rFonts w:hint="eastAsia"/>
          <w:b/>
          <w:szCs w:val="21"/>
        </w:rPr>
        <w:t xml:space="preserve">  </w:t>
      </w:r>
      <w:r>
        <w:rPr>
          <w:rFonts w:hint="eastAsia" w:ascii="宋体" w:hAnsi="宋体"/>
          <w:b/>
          <w:szCs w:val="21"/>
        </w:rPr>
        <w:t>起重吊装</w:t>
      </w:r>
    </w:p>
    <w:p>
      <w:pPr>
        <w:spacing w:line="360" w:lineRule="exact"/>
        <w:ind w:right="210" w:firstLine="420" w:firstLineChars="200"/>
        <w:rPr>
          <w:rFonts w:ascii="宋体" w:hAnsi="宋体"/>
          <w:szCs w:val="21"/>
        </w:rPr>
      </w:pPr>
      <w:r>
        <w:rPr>
          <w:rFonts w:hint="eastAsia" w:ascii="宋体" w:hAnsi="宋体"/>
          <w:szCs w:val="21"/>
        </w:rPr>
        <w:t>使用起重</w:t>
      </w:r>
      <w:r>
        <w:rPr>
          <w:rFonts w:hint="eastAsia" w:ascii="宋体" w:hAnsi="宋体" w:cs="宋体"/>
          <w:szCs w:val="21"/>
        </w:rPr>
        <w:t>设备将</w:t>
      </w:r>
      <w:r>
        <w:rPr>
          <w:rFonts w:hint="eastAsia" w:ascii="宋体" w:hAnsi="宋体" w:cs="DotumChe"/>
          <w:szCs w:val="21"/>
        </w:rPr>
        <w:t>建筑</w:t>
      </w:r>
      <w:r>
        <w:rPr>
          <w:rFonts w:hint="eastAsia" w:ascii="宋体" w:hAnsi="宋体" w:cs="宋体"/>
          <w:szCs w:val="21"/>
        </w:rPr>
        <w:t>结构构</w:t>
      </w:r>
      <w:r>
        <w:rPr>
          <w:rFonts w:hint="eastAsia" w:ascii="宋体" w:hAnsi="宋体" w:cs="DotumChe"/>
          <w:szCs w:val="21"/>
        </w:rPr>
        <w:t>件、</w:t>
      </w:r>
      <w:r>
        <w:rPr>
          <w:rFonts w:hint="eastAsia" w:ascii="宋体" w:hAnsi="宋体"/>
          <w:szCs w:val="21"/>
        </w:rPr>
        <w:t>器具、材料或</w:t>
      </w:r>
      <w:r>
        <w:rPr>
          <w:rFonts w:hint="eastAsia" w:ascii="宋体" w:hAnsi="宋体" w:cs="宋体"/>
          <w:szCs w:val="21"/>
        </w:rPr>
        <w:t>设备</w:t>
      </w:r>
      <w:r>
        <w:rPr>
          <w:rFonts w:hint="eastAsia" w:ascii="宋体" w:hAnsi="宋体" w:cs="DotumChe"/>
          <w:szCs w:val="21"/>
        </w:rPr>
        <w:t>提升或移</w:t>
      </w:r>
      <w:r>
        <w:rPr>
          <w:rFonts w:hint="eastAsia" w:ascii="宋体" w:hAnsi="宋体" w:cs="宋体"/>
          <w:szCs w:val="21"/>
        </w:rPr>
        <w:t>动</w:t>
      </w:r>
      <w:r>
        <w:rPr>
          <w:rFonts w:hint="eastAsia" w:ascii="宋体" w:hAnsi="宋体" w:cs="DotumChe"/>
          <w:szCs w:val="21"/>
        </w:rPr>
        <w:t>至</w:t>
      </w:r>
      <w:r>
        <w:rPr>
          <w:rFonts w:hint="eastAsia" w:ascii="宋体" w:hAnsi="宋体" w:cs="宋体"/>
          <w:szCs w:val="21"/>
        </w:rPr>
        <w:t>设计</w:t>
      </w:r>
      <w:r>
        <w:rPr>
          <w:rFonts w:hint="eastAsia" w:ascii="宋体" w:hAnsi="宋体" w:cs="DotumChe"/>
          <w:szCs w:val="21"/>
        </w:rPr>
        <w:t>指定位置和</w:t>
      </w:r>
      <w:r>
        <w:rPr>
          <w:rFonts w:hint="eastAsia" w:ascii="宋体" w:hAnsi="宋体" w:cs="宋体"/>
          <w:szCs w:val="21"/>
        </w:rPr>
        <w:t>标</w:t>
      </w:r>
      <w:r>
        <w:rPr>
          <w:rFonts w:hint="eastAsia" w:ascii="宋体" w:hAnsi="宋体" w:cs="DotumChe"/>
          <w:szCs w:val="21"/>
        </w:rPr>
        <w:t>高，</w:t>
      </w:r>
      <w:r>
        <w:rPr>
          <w:rFonts w:hint="eastAsia" w:ascii="宋体" w:hAnsi="宋体" w:cs="宋体"/>
          <w:szCs w:val="21"/>
        </w:rPr>
        <w:t>并</w:t>
      </w:r>
      <w:r>
        <w:rPr>
          <w:rFonts w:hint="eastAsia" w:ascii="宋体" w:hAnsi="宋体" w:cs="DotumChe"/>
          <w:szCs w:val="21"/>
        </w:rPr>
        <w:t>按要求安装固定的施工</w:t>
      </w:r>
      <w:r>
        <w:rPr>
          <w:rFonts w:hint="eastAsia" w:ascii="宋体" w:hAnsi="宋体" w:cs="宋体"/>
          <w:szCs w:val="21"/>
        </w:rPr>
        <w:t>过</w:t>
      </w:r>
      <w:r>
        <w:rPr>
          <w:rFonts w:hint="eastAsia" w:ascii="宋体" w:hAnsi="宋体" w:cs="DotumChe"/>
          <w:szCs w:val="21"/>
        </w:rPr>
        <w:t>程。</w:t>
      </w:r>
    </w:p>
    <w:p>
      <w:pPr>
        <w:spacing w:line="360" w:lineRule="exact"/>
        <w:ind w:right="210"/>
        <w:rPr>
          <w:rFonts w:eastAsia="DotumChe"/>
          <w:b/>
          <w:szCs w:val="21"/>
        </w:rPr>
      </w:pPr>
      <w:r>
        <w:rPr>
          <w:rFonts w:hint="eastAsia"/>
          <w:b/>
          <w:szCs w:val="21"/>
        </w:rPr>
        <w:t>2</w:t>
      </w:r>
      <w:r>
        <w:rPr>
          <w:rFonts w:hint="eastAsia" w:eastAsia="DotumChe"/>
          <w:b/>
          <w:szCs w:val="21"/>
        </w:rPr>
        <w:t>.0.9</w:t>
      </w:r>
      <w:r>
        <w:rPr>
          <w:rFonts w:hint="eastAsia"/>
          <w:b/>
          <w:szCs w:val="21"/>
        </w:rPr>
        <w:t xml:space="preserve">  </w:t>
      </w:r>
      <w:r>
        <w:rPr>
          <w:rFonts w:hint="eastAsia" w:ascii="宋体" w:hAnsi="宋体" w:cs="宋体"/>
          <w:b/>
          <w:szCs w:val="21"/>
        </w:rPr>
        <w:t>临时</w:t>
      </w:r>
      <w:r>
        <w:rPr>
          <w:rFonts w:hint="eastAsia" w:ascii="宋体" w:hAnsi="宋体" w:cs="DotumChe"/>
          <w:b/>
          <w:szCs w:val="21"/>
        </w:rPr>
        <w:t>消防</w:t>
      </w:r>
      <w:r>
        <w:rPr>
          <w:rFonts w:hint="eastAsia" w:ascii="宋体" w:hAnsi="宋体" w:cs="宋体"/>
          <w:b/>
          <w:szCs w:val="21"/>
        </w:rPr>
        <w:t>设</w:t>
      </w:r>
      <w:r>
        <w:rPr>
          <w:rFonts w:hint="eastAsia" w:ascii="宋体" w:hAnsi="宋体" w:cs="DotumChe"/>
          <w:b/>
          <w:szCs w:val="21"/>
        </w:rPr>
        <w:t>施</w:t>
      </w:r>
    </w:p>
    <w:p>
      <w:pPr>
        <w:spacing w:line="360" w:lineRule="exact"/>
        <w:ind w:right="210" w:firstLine="420" w:firstLineChars="200"/>
        <w:rPr>
          <w:rFonts w:ascii="宋体" w:hAnsi="宋体"/>
          <w:szCs w:val="21"/>
        </w:rPr>
      </w:pPr>
      <w:r>
        <w:rPr>
          <w:rFonts w:hint="eastAsia" w:ascii="宋体" w:hAnsi="宋体" w:cs="宋体"/>
          <w:szCs w:val="21"/>
        </w:rPr>
        <w:t>设</w:t>
      </w:r>
      <w:r>
        <w:rPr>
          <w:rFonts w:hint="eastAsia" w:ascii="宋体" w:hAnsi="宋体" w:cs="DotumChe"/>
          <w:szCs w:val="21"/>
        </w:rPr>
        <w:t>置在建</w:t>
      </w:r>
      <w:r>
        <w:rPr>
          <w:rFonts w:hint="eastAsia" w:ascii="宋体" w:hAnsi="宋体" w:cs="宋体"/>
          <w:szCs w:val="21"/>
        </w:rPr>
        <w:t>设</w:t>
      </w:r>
      <w:r>
        <w:rPr>
          <w:rFonts w:hint="eastAsia" w:ascii="宋体" w:hAnsi="宋体" w:cs="DotumChe"/>
          <w:szCs w:val="21"/>
        </w:rPr>
        <w:t>工程施工</w:t>
      </w:r>
      <w:r>
        <w:rPr>
          <w:rFonts w:hint="eastAsia" w:ascii="宋体" w:hAnsi="宋体" w:cs="宋体"/>
          <w:szCs w:val="21"/>
        </w:rPr>
        <w:t>现场</w:t>
      </w:r>
      <w:r>
        <w:rPr>
          <w:rFonts w:hint="eastAsia" w:ascii="宋体" w:hAnsi="宋体" w:cs="DotumChe"/>
          <w:szCs w:val="21"/>
        </w:rPr>
        <w:t>，用于扑救施工</w:t>
      </w:r>
      <w:r>
        <w:rPr>
          <w:rFonts w:hint="eastAsia" w:ascii="宋体" w:hAnsi="宋体" w:cs="宋体"/>
          <w:szCs w:val="21"/>
        </w:rPr>
        <w:t>现场</w:t>
      </w:r>
      <w:r>
        <w:rPr>
          <w:rFonts w:hint="eastAsia" w:ascii="宋体" w:hAnsi="宋体" w:cs="DotumChe"/>
          <w:szCs w:val="21"/>
        </w:rPr>
        <w:t>火灾、引</w:t>
      </w:r>
      <w:r>
        <w:rPr>
          <w:rFonts w:hint="eastAsia" w:ascii="宋体" w:hAnsi="宋体" w:cs="宋体"/>
          <w:szCs w:val="21"/>
        </w:rPr>
        <w:t>导</w:t>
      </w:r>
      <w:r>
        <w:rPr>
          <w:rFonts w:hint="eastAsia" w:ascii="宋体" w:hAnsi="宋体" w:cs="DotumChe"/>
          <w:szCs w:val="21"/>
        </w:rPr>
        <w:t>施工人</w:t>
      </w:r>
      <w:r>
        <w:rPr>
          <w:rFonts w:hint="eastAsia" w:ascii="宋体" w:hAnsi="宋体" w:cs="宋体"/>
          <w:szCs w:val="21"/>
        </w:rPr>
        <w:t>员</w:t>
      </w:r>
      <w:r>
        <w:rPr>
          <w:rFonts w:hint="eastAsia" w:ascii="宋体" w:hAnsi="宋体" w:cs="DotumChe"/>
          <w:szCs w:val="21"/>
        </w:rPr>
        <w:t>安全疏散等各</w:t>
      </w:r>
      <w:r>
        <w:rPr>
          <w:rFonts w:hint="eastAsia" w:ascii="宋体" w:hAnsi="宋体" w:cs="宋体"/>
          <w:szCs w:val="21"/>
        </w:rPr>
        <w:t>类</w:t>
      </w:r>
      <w:r>
        <w:rPr>
          <w:rFonts w:hint="eastAsia" w:ascii="宋体" w:hAnsi="宋体" w:cs="DotumChe"/>
          <w:szCs w:val="21"/>
        </w:rPr>
        <w:t>消防</w:t>
      </w:r>
      <w:r>
        <w:rPr>
          <w:rFonts w:hint="eastAsia" w:ascii="宋体" w:hAnsi="宋体" w:cs="宋体"/>
          <w:szCs w:val="21"/>
        </w:rPr>
        <w:t>设</w:t>
      </w:r>
      <w:r>
        <w:rPr>
          <w:rFonts w:hint="eastAsia" w:ascii="宋体" w:hAnsi="宋体" w:cs="DotumChe"/>
          <w:szCs w:val="21"/>
        </w:rPr>
        <w:t>施，包括</w:t>
      </w:r>
      <w:r>
        <w:rPr>
          <w:rFonts w:hint="eastAsia" w:ascii="宋体" w:hAnsi="宋体" w:cs="宋体"/>
          <w:szCs w:val="21"/>
        </w:rPr>
        <w:t>灭</w:t>
      </w:r>
      <w:r>
        <w:rPr>
          <w:rFonts w:hint="eastAsia" w:ascii="宋体" w:hAnsi="宋体" w:cs="DotumChe"/>
          <w:szCs w:val="21"/>
        </w:rPr>
        <w:t>火器、</w:t>
      </w:r>
      <w:r>
        <w:rPr>
          <w:rFonts w:hint="eastAsia" w:ascii="宋体" w:hAnsi="宋体" w:cs="宋体"/>
          <w:szCs w:val="21"/>
        </w:rPr>
        <w:t>临时</w:t>
      </w:r>
      <w:r>
        <w:rPr>
          <w:rFonts w:hint="eastAsia" w:ascii="宋体" w:hAnsi="宋体" w:cs="DotumChe"/>
          <w:szCs w:val="21"/>
        </w:rPr>
        <w:t>消防</w:t>
      </w:r>
      <w:r>
        <w:rPr>
          <w:rFonts w:hint="eastAsia" w:ascii="宋体" w:hAnsi="宋体" w:cs="宋体"/>
          <w:szCs w:val="21"/>
        </w:rPr>
        <w:t>给</w:t>
      </w:r>
      <w:r>
        <w:rPr>
          <w:rFonts w:hint="eastAsia" w:ascii="宋体" w:hAnsi="宋体" w:cs="DotumChe"/>
          <w:szCs w:val="21"/>
        </w:rPr>
        <w:t>水系</w:t>
      </w:r>
      <w:r>
        <w:rPr>
          <w:rFonts w:hint="eastAsia" w:ascii="宋体" w:hAnsi="宋体" w:cs="宋体"/>
          <w:szCs w:val="21"/>
        </w:rPr>
        <w:t>统</w:t>
      </w:r>
      <w:r>
        <w:rPr>
          <w:rFonts w:hint="eastAsia" w:ascii="宋体" w:hAnsi="宋体" w:cs="DotumChe"/>
          <w:szCs w:val="21"/>
        </w:rPr>
        <w:t>、消防</w:t>
      </w:r>
      <w:r>
        <w:rPr>
          <w:rFonts w:hint="eastAsia" w:ascii="宋体" w:hAnsi="宋体" w:cs="宋体"/>
          <w:szCs w:val="21"/>
        </w:rPr>
        <w:t>应</w:t>
      </w:r>
      <w:r>
        <w:rPr>
          <w:rFonts w:hint="eastAsia" w:ascii="宋体" w:hAnsi="宋体" w:cs="DotumChe"/>
          <w:szCs w:val="21"/>
        </w:rPr>
        <w:t>急照明、疏散指示</w:t>
      </w:r>
      <w:r>
        <w:rPr>
          <w:rFonts w:hint="eastAsia" w:ascii="宋体" w:hAnsi="宋体" w:cs="宋体"/>
          <w:szCs w:val="21"/>
        </w:rPr>
        <w:t>标识</w:t>
      </w:r>
      <w:r>
        <w:rPr>
          <w:rFonts w:hint="eastAsia" w:ascii="宋体" w:hAnsi="宋体" w:cs="DotumChe"/>
          <w:szCs w:val="21"/>
        </w:rPr>
        <w:t>、</w:t>
      </w:r>
      <w:r>
        <w:rPr>
          <w:rFonts w:hint="eastAsia" w:ascii="宋体" w:hAnsi="宋体" w:cs="宋体"/>
          <w:szCs w:val="21"/>
        </w:rPr>
        <w:t>临时</w:t>
      </w:r>
      <w:r>
        <w:rPr>
          <w:rFonts w:hint="eastAsia" w:ascii="宋体" w:hAnsi="宋体" w:cs="DotumChe"/>
          <w:szCs w:val="21"/>
        </w:rPr>
        <w:t>疏散通道等。</w:t>
      </w:r>
    </w:p>
    <w:p>
      <w:pPr>
        <w:spacing w:line="360" w:lineRule="exact"/>
        <w:ind w:right="210"/>
        <w:rPr>
          <w:rFonts w:eastAsia="DotumChe"/>
          <w:b/>
          <w:szCs w:val="21"/>
        </w:rPr>
      </w:pPr>
      <w:r>
        <w:rPr>
          <w:rFonts w:hint="eastAsia"/>
          <w:b/>
          <w:szCs w:val="21"/>
        </w:rPr>
        <w:t>2</w:t>
      </w:r>
      <w:r>
        <w:rPr>
          <w:rFonts w:hint="eastAsia" w:eastAsia="DotumChe"/>
          <w:b/>
          <w:szCs w:val="21"/>
        </w:rPr>
        <w:t>.0.10</w:t>
      </w:r>
      <w:r>
        <w:rPr>
          <w:rFonts w:hint="eastAsia"/>
          <w:b/>
          <w:szCs w:val="21"/>
        </w:rPr>
        <w:t xml:space="preserve"> </w:t>
      </w:r>
      <w:r>
        <w:rPr>
          <w:rFonts w:hint="eastAsia" w:ascii="宋体" w:hAnsi="宋体"/>
          <w:b/>
          <w:szCs w:val="21"/>
        </w:rPr>
        <w:t>有限空</w:t>
      </w:r>
      <w:r>
        <w:rPr>
          <w:rFonts w:hint="eastAsia" w:ascii="宋体" w:hAnsi="宋体" w:cs="宋体"/>
          <w:b/>
          <w:szCs w:val="21"/>
        </w:rPr>
        <w:t>间</w:t>
      </w:r>
      <w:r>
        <w:rPr>
          <w:rFonts w:hint="eastAsia" w:ascii="宋体" w:hAnsi="宋体" w:cs="DotumChe"/>
          <w:b/>
          <w:szCs w:val="21"/>
        </w:rPr>
        <w:t>作</w:t>
      </w:r>
      <w:r>
        <w:rPr>
          <w:rFonts w:hint="eastAsia" w:ascii="宋体" w:hAnsi="宋体" w:cs="宋体"/>
          <w:b/>
          <w:szCs w:val="21"/>
        </w:rPr>
        <w:t>业</w:t>
      </w:r>
    </w:p>
    <w:p>
      <w:pPr>
        <w:spacing w:line="360" w:lineRule="exact"/>
        <w:ind w:right="210" w:firstLine="420" w:firstLineChars="200"/>
        <w:rPr>
          <w:rFonts w:ascii="宋体" w:hAnsi="宋体"/>
          <w:bCs/>
          <w:szCs w:val="21"/>
        </w:rPr>
      </w:pPr>
      <w:r>
        <w:rPr>
          <w:rFonts w:hint="eastAsia" w:ascii="宋体" w:hAnsi="宋体"/>
          <w:bCs/>
          <w:szCs w:val="21"/>
        </w:rPr>
        <w:t>有限空</w:t>
      </w:r>
      <w:r>
        <w:rPr>
          <w:rFonts w:hint="eastAsia" w:ascii="宋体" w:hAnsi="宋体" w:cs="宋体"/>
          <w:bCs/>
          <w:szCs w:val="21"/>
        </w:rPr>
        <w:t>间</w:t>
      </w:r>
      <w:r>
        <w:rPr>
          <w:rFonts w:hint="eastAsia" w:ascii="宋体" w:hAnsi="宋体" w:cs="DotumChe"/>
          <w:bCs/>
          <w:szCs w:val="21"/>
        </w:rPr>
        <w:t>是指封</w:t>
      </w:r>
      <w:r>
        <w:rPr>
          <w:rFonts w:hint="eastAsia" w:ascii="宋体" w:hAnsi="宋体" w:cs="宋体"/>
          <w:bCs/>
          <w:szCs w:val="21"/>
        </w:rPr>
        <w:t>闭</w:t>
      </w:r>
      <w:r>
        <w:rPr>
          <w:rFonts w:hint="eastAsia" w:ascii="宋体" w:hAnsi="宋体" w:cs="DotumChe"/>
          <w:bCs/>
          <w:szCs w:val="21"/>
        </w:rPr>
        <w:t>或部分封</w:t>
      </w:r>
      <w:r>
        <w:rPr>
          <w:rFonts w:hint="eastAsia" w:ascii="宋体" w:hAnsi="宋体" w:cs="宋体"/>
          <w:bCs/>
          <w:szCs w:val="21"/>
        </w:rPr>
        <w:t>闭</w:t>
      </w:r>
      <w:r>
        <w:rPr>
          <w:rFonts w:hint="eastAsia" w:ascii="宋体" w:hAnsi="宋体" w:cs="DotumChe"/>
          <w:bCs/>
          <w:szCs w:val="21"/>
        </w:rPr>
        <w:t>，</w:t>
      </w:r>
      <w:r>
        <w:rPr>
          <w:rFonts w:hint="eastAsia" w:ascii="宋体" w:hAnsi="宋体" w:cs="宋体"/>
          <w:bCs/>
          <w:szCs w:val="21"/>
        </w:rPr>
        <w:t>进</w:t>
      </w:r>
      <w:r>
        <w:rPr>
          <w:rFonts w:hint="eastAsia" w:ascii="宋体" w:hAnsi="宋体" w:cs="DotumChe"/>
          <w:bCs/>
          <w:szCs w:val="21"/>
        </w:rPr>
        <w:t>出口</w:t>
      </w:r>
      <w:r>
        <w:rPr>
          <w:rFonts w:hint="eastAsia" w:ascii="宋体" w:hAnsi="宋体" w:cs="宋体"/>
          <w:bCs/>
          <w:szCs w:val="21"/>
        </w:rPr>
        <w:t>较为狭</w:t>
      </w:r>
      <w:r>
        <w:rPr>
          <w:rFonts w:hint="eastAsia" w:ascii="宋体" w:hAnsi="宋体" w:cs="DotumChe"/>
          <w:bCs/>
          <w:szCs w:val="21"/>
        </w:rPr>
        <w:t>窄，未被</w:t>
      </w:r>
      <w:r>
        <w:rPr>
          <w:rFonts w:hint="eastAsia" w:ascii="宋体" w:hAnsi="宋体" w:cs="宋体"/>
          <w:bCs/>
          <w:szCs w:val="21"/>
        </w:rPr>
        <w:t>设计为</w:t>
      </w:r>
      <w:r>
        <w:rPr>
          <w:rFonts w:hint="eastAsia" w:ascii="宋体" w:hAnsi="宋体" w:cs="DotumChe"/>
          <w:bCs/>
          <w:szCs w:val="21"/>
        </w:rPr>
        <w:t>固定工作</w:t>
      </w:r>
      <w:r>
        <w:rPr>
          <w:rFonts w:hint="eastAsia" w:ascii="宋体" w:hAnsi="宋体" w:cs="宋体"/>
          <w:bCs/>
          <w:szCs w:val="21"/>
        </w:rPr>
        <w:t>场</w:t>
      </w:r>
      <w:r>
        <w:rPr>
          <w:rFonts w:hint="eastAsia" w:ascii="宋体" w:hAnsi="宋体" w:cs="DotumChe"/>
          <w:bCs/>
          <w:szCs w:val="21"/>
        </w:rPr>
        <w:t>所，自然通</w:t>
      </w:r>
      <w:r>
        <w:rPr>
          <w:rFonts w:hint="eastAsia" w:ascii="宋体" w:hAnsi="宋体" w:cs="宋体"/>
          <w:bCs/>
          <w:szCs w:val="21"/>
        </w:rPr>
        <w:t>风</w:t>
      </w:r>
      <w:r>
        <w:rPr>
          <w:rFonts w:hint="eastAsia" w:ascii="宋体" w:hAnsi="宋体" w:cs="DotumChe"/>
          <w:bCs/>
          <w:szCs w:val="21"/>
        </w:rPr>
        <w:t>不良，易造成有毒有害、易燃易爆物</w:t>
      </w:r>
      <w:r>
        <w:rPr>
          <w:rFonts w:hint="eastAsia" w:ascii="宋体" w:hAnsi="宋体" w:cs="宋体"/>
          <w:bCs/>
          <w:szCs w:val="21"/>
        </w:rPr>
        <w:t>质积</w:t>
      </w:r>
      <w:r>
        <w:rPr>
          <w:rFonts w:hint="eastAsia" w:ascii="宋体" w:hAnsi="宋体" w:cs="DotumChe"/>
          <w:bCs/>
          <w:szCs w:val="21"/>
        </w:rPr>
        <w:t>聚或</w:t>
      </w:r>
      <w:r>
        <w:rPr>
          <w:rFonts w:hint="eastAsia" w:ascii="宋体" w:hAnsi="宋体" w:cs="宋体"/>
          <w:bCs/>
          <w:szCs w:val="21"/>
        </w:rPr>
        <w:t>氧</w:t>
      </w:r>
      <w:r>
        <w:rPr>
          <w:rFonts w:hint="eastAsia" w:ascii="宋体" w:hAnsi="宋体" w:cs="DotumChe"/>
          <w:bCs/>
          <w:szCs w:val="21"/>
        </w:rPr>
        <w:t>含量不足的空</w:t>
      </w:r>
      <w:r>
        <w:rPr>
          <w:rFonts w:hint="eastAsia" w:ascii="宋体" w:hAnsi="宋体" w:cs="宋体"/>
          <w:bCs/>
          <w:szCs w:val="21"/>
        </w:rPr>
        <w:t>间</w:t>
      </w:r>
      <w:r>
        <w:rPr>
          <w:rFonts w:hint="eastAsia" w:ascii="宋体" w:hAnsi="宋体" w:cs="DotumChe"/>
          <w:bCs/>
          <w:szCs w:val="21"/>
        </w:rPr>
        <w:t>。有限空</w:t>
      </w:r>
      <w:r>
        <w:rPr>
          <w:rFonts w:hint="eastAsia" w:ascii="宋体" w:hAnsi="宋体" w:cs="宋体"/>
          <w:bCs/>
          <w:szCs w:val="21"/>
        </w:rPr>
        <w:t>间</w:t>
      </w:r>
      <w:r>
        <w:rPr>
          <w:rFonts w:hint="eastAsia" w:ascii="宋体" w:hAnsi="宋体" w:cs="DotumChe"/>
          <w:bCs/>
          <w:szCs w:val="21"/>
        </w:rPr>
        <w:t>作</w:t>
      </w:r>
      <w:r>
        <w:rPr>
          <w:rFonts w:hint="eastAsia" w:ascii="宋体" w:hAnsi="宋体" w:cs="宋体"/>
          <w:bCs/>
          <w:szCs w:val="21"/>
        </w:rPr>
        <w:t>业</w:t>
      </w:r>
      <w:r>
        <w:rPr>
          <w:rFonts w:hint="eastAsia" w:ascii="宋体" w:hAnsi="宋体" w:cs="DotumChe"/>
          <w:bCs/>
          <w:szCs w:val="21"/>
        </w:rPr>
        <w:t>是指作</w:t>
      </w:r>
      <w:r>
        <w:rPr>
          <w:rFonts w:hint="eastAsia" w:ascii="宋体" w:hAnsi="宋体" w:cs="宋体"/>
          <w:bCs/>
          <w:szCs w:val="21"/>
        </w:rPr>
        <w:t>业</w:t>
      </w:r>
      <w:r>
        <w:rPr>
          <w:rFonts w:hint="eastAsia" w:ascii="宋体" w:hAnsi="宋体" w:cs="DotumChe"/>
          <w:bCs/>
          <w:szCs w:val="21"/>
        </w:rPr>
        <w:t>人</w:t>
      </w:r>
      <w:r>
        <w:rPr>
          <w:rFonts w:hint="eastAsia" w:ascii="宋体" w:hAnsi="宋体" w:cs="宋体"/>
          <w:bCs/>
          <w:szCs w:val="21"/>
        </w:rPr>
        <w:t>员进</w:t>
      </w:r>
      <w:r>
        <w:rPr>
          <w:rFonts w:hint="eastAsia" w:ascii="宋体" w:hAnsi="宋体" w:cs="DotumChe"/>
          <w:bCs/>
          <w:szCs w:val="21"/>
        </w:rPr>
        <w:t>入有限空</w:t>
      </w:r>
      <w:r>
        <w:rPr>
          <w:rFonts w:hint="eastAsia" w:ascii="宋体" w:hAnsi="宋体" w:cs="宋体"/>
          <w:bCs/>
          <w:szCs w:val="21"/>
        </w:rPr>
        <w:t>间实</w:t>
      </w:r>
      <w:r>
        <w:rPr>
          <w:rFonts w:hint="eastAsia" w:ascii="宋体" w:hAnsi="宋体" w:cs="DotumChe"/>
          <w:bCs/>
          <w:szCs w:val="21"/>
        </w:rPr>
        <w:t>施的作</w:t>
      </w:r>
      <w:r>
        <w:rPr>
          <w:rFonts w:hint="eastAsia" w:ascii="宋体" w:hAnsi="宋体" w:cs="宋体"/>
          <w:bCs/>
          <w:szCs w:val="21"/>
        </w:rPr>
        <w:t>业</w:t>
      </w:r>
      <w:r>
        <w:rPr>
          <w:rFonts w:hint="eastAsia" w:ascii="宋体" w:hAnsi="宋体" w:cs="DotumChe"/>
          <w:bCs/>
          <w:szCs w:val="21"/>
        </w:rPr>
        <w:t>活</w:t>
      </w:r>
      <w:r>
        <w:rPr>
          <w:rFonts w:hint="eastAsia" w:ascii="宋体" w:hAnsi="宋体" w:cs="宋体"/>
          <w:bCs/>
          <w:szCs w:val="21"/>
        </w:rPr>
        <w:t>动</w:t>
      </w:r>
      <w:r>
        <w:rPr>
          <w:rFonts w:hint="eastAsia" w:ascii="宋体" w:hAnsi="宋体" w:cs="DotumChe"/>
          <w:bCs/>
          <w:szCs w:val="21"/>
        </w:rPr>
        <w:t>。</w:t>
      </w:r>
    </w:p>
    <w:p>
      <w:pPr>
        <w:spacing w:line="360" w:lineRule="exact"/>
        <w:ind w:right="210"/>
        <w:rPr>
          <w:rFonts w:eastAsia="DotumChe"/>
          <w:b/>
          <w:szCs w:val="21"/>
        </w:rPr>
      </w:pPr>
      <w:r>
        <w:rPr>
          <w:rFonts w:hint="eastAsia"/>
          <w:b/>
          <w:szCs w:val="21"/>
        </w:rPr>
        <w:t>2</w:t>
      </w:r>
      <w:r>
        <w:rPr>
          <w:rFonts w:hint="eastAsia" w:eastAsia="DotumChe"/>
          <w:b/>
          <w:szCs w:val="21"/>
        </w:rPr>
        <w:t>.0.11</w:t>
      </w:r>
      <w:r>
        <w:rPr>
          <w:rFonts w:hint="eastAsia"/>
          <w:b/>
          <w:szCs w:val="21"/>
        </w:rPr>
        <w:t xml:space="preserve"> </w:t>
      </w:r>
      <w:r>
        <w:rPr>
          <w:rFonts w:hint="eastAsia" w:ascii="宋体" w:hAnsi="宋体"/>
          <w:b/>
          <w:szCs w:val="21"/>
        </w:rPr>
        <w:t>爆破拆除</w:t>
      </w:r>
    </w:p>
    <w:p>
      <w:pPr>
        <w:spacing w:line="360" w:lineRule="exact"/>
        <w:ind w:right="210" w:firstLine="420" w:firstLineChars="200"/>
        <w:rPr>
          <w:rFonts w:ascii="宋体" w:hAnsi="宋体"/>
          <w:szCs w:val="21"/>
        </w:rPr>
      </w:pPr>
      <w:r>
        <w:rPr>
          <w:rFonts w:hint="eastAsia" w:ascii="宋体" w:hAnsi="宋体"/>
          <w:szCs w:val="21"/>
        </w:rPr>
        <w:t>采取控制有害效</w:t>
      </w:r>
      <w:r>
        <w:rPr>
          <w:rFonts w:hint="eastAsia" w:ascii="宋体" w:hAnsi="宋体" w:cs="宋体"/>
          <w:szCs w:val="21"/>
        </w:rPr>
        <w:t>应</w:t>
      </w:r>
      <w:r>
        <w:rPr>
          <w:rFonts w:hint="eastAsia" w:ascii="宋体" w:hAnsi="宋体" w:cs="DotumChe"/>
          <w:szCs w:val="21"/>
        </w:rPr>
        <w:t>的措施，按</w:t>
      </w:r>
      <w:r>
        <w:rPr>
          <w:rFonts w:hint="eastAsia" w:ascii="宋体" w:hAnsi="宋体" w:cs="宋体"/>
          <w:szCs w:val="21"/>
        </w:rPr>
        <w:t>设计</w:t>
      </w:r>
      <w:r>
        <w:rPr>
          <w:rFonts w:hint="eastAsia" w:ascii="宋体" w:hAnsi="宋体" w:cs="DotumChe"/>
          <w:szCs w:val="21"/>
        </w:rPr>
        <w:t>要求用爆破方法拆除建</w:t>
      </w:r>
      <w:r>
        <w:rPr>
          <w:rFonts w:ascii="宋体" w:hAnsi="宋体"/>
          <w:szCs w:val="21"/>
        </w:rPr>
        <w:t>(</w:t>
      </w:r>
      <w:r>
        <w:rPr>
          <w:rFonts w:hint="eastAsia" w:ascii="宋体" w:hAnsi="宋体" w:cs="宋体"/>
          <w:szCs w:val="21"/>
        </w:rPr>
        <w:t>构</w:t>
      </w:r>
      <w:r>
        <w:rPr>
          <w:rFonts w:ascii="宋体" w:hAnsi="宋体"/>
          <w:szCs w:val="21"/>
        </w:rPr>
        <w:t>)</w:t>
      </w:r>
      <w:r>
        <w:rPr>
          <w:rFonts w:hint="eastAsia" w:ascii="宋体" w:hAnsi="宋体"/>
          <w:szCs w:val="21"/>
        </w:rPr>
        <w:t>筑物的作</w:t>
      </w:r>
      <w:r>
        <w:rPr>
          <w:rFonts w:hint="eastAsia" w:ascii="宋体" w:hAnsi="宋体" w:cs="宋体"/>
          <w:szCs w:val="21"/>
        </w:rPr>
        <w:t>业</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.0.12</w:t>
      </w:r>
      <w:r>
        <w:rPr>
          <w:rFonts w:hint="eastAsia"/>
          <w:b/>
          <w:szCs w:val="21"/>
        </w:rPr>
        <w:t xml:space="preserve"> </w:t>
      </w:r>
      <w:r>
        <w:rPr>
          <w:rFonts w:hint="eastAsia" w:ascii="宋体" w:hAnsi="宋体" w:cs="宋体"/>
          <w:b/>
          <w:szCs w:val="21"/>
        </w:rPr>
        <w:t>浅</w:t>
      </w:r>
      <w:r>
        <w:rPr>
          <w:rFonts w:hint="eastAsia" w:ascii="宋体" w:hAnsi="宋体" w:cs="DotumChe"/>
          <w:b/>
          <w:szCs w:val="21"/>
        </w:rPr>
        <w:t>埋</w:t>
      </w:r>
      <w:r>
        <w:rPr>
          <w:rFonts w:hint="eastAsia" w:ascii="宋体" w:hAnsi="宋体"/>
          <w:b/>
          <w:szCs w:val="21"/>
        </w:rPr>
        <w:t>暗</w:t>
      </w:r>
      <w:r>
        <w:rPr>
          <w:rFonts w:hint="eastAsia" w:ascii="宋体" w:hAnsi="宋体" w:cs="宋体"/>
          <w:b/>
          <w:szCs w:val="21"/>
        </w:rPr>
        <w:t>挖</w:t>
      </w:r>
      <w:r>
        <w:rPr>
          <w:rFonts w:hint="eastAsia" w:ascii="宋体" w:hAnsi="宋体" w:cs="DotumChe"/>
          <w:b/>
          <w:szCs w:val="21"/>
        </w:rPr>
        <w:t>法</w:t>
      </w:r>
    </w:p>
    <w:p>
      <w:pPr>
        <w:spacing w:line="360" w:lineRule="exact"/>
        <w:ind w:right="210" w:firstLine="420" w:firstLineChars="200"/>
        <w:rPr>
          <w:rFonts w:ascii="宋体" w:hAnsi="宋体"/>
          <w:b/>
          <w:szCs w:val="21"/>
        </w:rPr>
      </w:pPr>
      <w:r>
        <w:rPr>
          <w:rFonts w:ascii="宋体" w:hAnsi="宋体"/>
          <w:szCs w:val="21"/>
        </w:rPr>
        <w:t>在</w:t>
      </w:r>
      <w:r>
        <w:rPr>
          <w:rFonts w:hint="eastAsia" w:ascii="宋体" w:hAnsi="宋体" w:cs="宋体"/>
          <w:szCs w:val="21"/>
        </w:rPr>
        <w:t>软</w:t>
      </w:r>
      <w:r>
        <w:rPr>
          <w:rFonts w:hint="eastAsia" w:ascii="宋体" w:hAnsi="宋体" w:cs="DotumChe"/>
          <w:szCs w:val="21"/>
        </w:rPr>
        <w:t>弱</w:t>
      </w:r>
      <w:r>
        <w:rPr>
          <w:rFonts w:hint="eastAsia" w:ascii="宋体" w:hAnsi="宋体" w:cs="宋体"/>
          <w:szCs w:val="21"/>
        </w:rPr>
        <w:t>围</w:t>
      </w:r>
      <w:r>
        <w:rPr>
          <w:rFonts w:hint="eastAsia" w:ascii="宋体" w:hAnsi="宋体" w:cs="DotumChe"/>
          <w:szCs w:val="21"/>
        </w:rPr>
        <w:t>岩地</w:t>
      </w:r>
      <w:r>
        <w:rPr>
          <w:rFonts w:hint="eastAsia" w:ascii="宋体" w:hAnsi="宋体" w:cs="宋体"/>
          <w:szCs w:val="21"/>
        </w:rPr>
        <w:t>层</w:t>
      </w:r>
      <w:r>
        <w:rPr>
          <w:rFonts w:hint="eastAsia" w:ascii="宋体" w:hAnsi="宋体" w:cs="DotumChe"/>
          <w:szCs w:val="21"/>
        </w:rPr>
        <w:t>中，在</w:t>
      </w:r>
      <w:r>
        <w:rPr>
          <w:rFonts w:hint="eastAsia" w:ascii="宋体" w:hAnsi="宋体" w:cs="宋体"/>
          <w:szCs w:val="21"/>
        </w:rPr>
        <w:t>浅</w:t>
      </w:r>
      <w:r>
        <w:rPr>
          <w:rFonts w:hint="eastAsia" w:ascii="宋体" w:hAnsi="宋体" w:cs="DotumChe"/>
          <w:szCs w:val="21"/>
        </w:rPr>
        <w:t>埋</w:t>
      </w:r>
      <w:r>
        <w:rPr>
          <w:rFonts w:hint="eastAsia" w:ascii="宋体" w:hAnsi="宋体" w:cs="宋体"/>
          <w:szCs w:val="21"/>
        </w:rPr>
        <w:t>条</w:t>
      </w:r>
      <w:r>
        <w:rPr>
          <w:rFonts w:hint="eastAsia" w:ascii="宋体" w:hAnsi="宋体" w:cs="DotumChe"/>
          <w:szCs w:val="21"/>
        </w:rPr>
        <w:t>件下修建地下工程，以改造地</w:t>
      </w:r>
      <w:r>
        <w:rPr>
          <w:rFonts w:hint="eastAsia" w:ascii="宋体" w:hAnsi="宋体" w:cs="宋体"/>
          <w:szCs w:val="21"/>
        </w:rPr>
        <w:t>质条</w:t>
      </w:r>
      <w:r>
        <w:rPr>
          <w:rFonts w:hint="eastAsia" w:ascii="宋体" w:hAnsi="宋体" w:cs="DotumChe"/>
          <w:szCs w:val="21"/>
        </w:rPr>
        <w:t>件</w:t>
      </w:r>
      <w:r>
        <w:rPr>
          <w:rFonts w:hint="eastAsia" w:ascii="宋体" w:hAnsi="宋体" w:cs="宋体"/>
          <w:szCs w:val="21"/>
        </w:rPr>
        <w:t>为</w:t>
      </w:r>
      <w:r>
        <w:rPr>
          <w:rFonts w:hint="eastAsia" w:ascii="宋体" w:hAnsi="宋体" w:cs="DotumChe"/>
          <w:szCs w:val="21"/>
        </w:rPr>
        <w:t>前提，以控制地表沉降</w:t>
      </w:r>
      <w:r>
        <w:rPr>
          <w:rFonts w:hint="eastAsia" w:ascii="宋体" w:hAnsi="宋体" w:cs="宋体"/>
          <w:szCs w:val="21"/>
        </w:rPr>
        <w:t>为</w:t>
      </w:r>
      <w:r>
        <w:rPr>
          <w:rFonts w:hint="eastAsia" w:ascii="宋体" w:hAnsi="宋体" w:cs="DotumChe"/>
          <w:szCs w:val="21"/>
        </w:rPr>
        <w:t>重点，以格</w:t>
      </w:r>
      <w:r>
        <w:rPr>
          <w:rFonts w:hint="eastAsia" w:ascii="宋体" w:hAnsi="宋体" w:cs="宋体"/>
          <w:szCs w:val="21"/>
        </w:rPr>
        <w:t>栅</w:t>
      </w:r>
      <w:r>
        <w:rPr>
          <w:rFonts w:hint="eastAsia" w:ascii="宋体" w:hAnsi="宋体" w:cs="DotumChe"/>
          <w:szCs w:val="21"/>
        </w:rPr>
        <w:t>（或其他</w:t>
      </w:r>
      <w:r>
        <w:rPr>
          <w:rFonts w:hint="eastAsia" w:ascii="宋体" w:hAnsi="宋体" w:cs="宋体"/>
          <w:szCs w:val="21"/>
        </w:rPr>
        <w:t>钢结构</w:t>
      </w:r>
      <w:r>
        <w:rPr>
          <w:rFonts w:hint="eastAsia" w:ascii="宋体" w:hAnsi="宋体" w:cs="DotumChe"/>
          <w:szCs w:val="21"/>
        </w:rPr>
        <w:t>）和</w:t>
      </w:r>
      <w:r>
        <w:rPr>
          <w:rFonts w:hint="eastAsia" w:ascii="宋体" w:hAnsi="宋体" w:cs="宋体"/>
          <w:szCs w:val="21"/>
        </w:rPr>
        <w:t>喷锚</w:t>
      </w:r>
      <w:r>
        <w:rPr>
          <w:rFonts w:hint="eastAsia" w:ascii="宋体" w:hAnsi="宋体" w:cs="DotumChe"/>
          <w:szCs w:val="21"/>
        </w:rPr>
        <w:t>作</w:t>
      </w:r>
      <w:r>
        <w:rPr>
          <w:rFonts w:hint="eastAsia" w:ascii="宋体" w:hAnsi="宋体" w:cs="宋体"/>
          <w:szCs w:val="21"/>
        </w:rPr>
        <w:t>为</w:t>
      </w:r>
      <w:r>
        <w:rPr>
          <w:rFonts w:hint="eastAsia" w:ascii="宋体" w:hAnsi="宋体" w:cs="DotumChe"/>
          <w:szCs w:val="21"/>
        </w:rPr>
        <w:t>初期支</w:t>
      </w:r>
      <w:r>
        <w:rPr>
          <w:rFonts w:hint="eastAsia" w:ascii="宋体" w:hAnsi="宋体" w:cs="宋体"/>
          <w:szCs w:val="21"/>
        </w:rPr>
        <w:t>护</w:t>
      </w:r>
      <w:r>
        <w:rPr>
          <w:rFonts w:hint="eastAsia" w:ascii="宋体" w:hAnsi="宋体" w:cs="DotumChe"/>
          <w:szCs w:val="21"/>
        </w:rPr>
        <w:t>手段，按照十八字原</w:t>
      </w:r>
      <w:r>
        <w:rPr>
          <w:rFonts w:hint="eastAsia" w:ascii="宋体" w:hAnsi="宋体" w:cs="宋体"/>
          <w:szCs w:val="21"/>
        </w:rPr>
        <w:t>则</w:t>
      </w:r>
      <w:r>
        <w:rPr>
          <w:rFonts w:hint="eastAsia" w:ascii="宋体" w:hAnsi="宋体" w:cs="DotumChe"/>
          <w:szCs w:val="21"/>
        </w:rPr>
        <w:t>（</w:t>
      </w:r>
      <w:r>
        <w:rPr>
          <w:rFonts w:hint="eastAsia" w:ascii="宋体" w:hAnsi="宋体"/>
          <w:szCs w:val="21"/>
        </w:rPr>
        <w:t>管超前，</w:t>
      </w:r>
      <w:r>
        <w:rPr>
          <w:rFonts w:hint="eastAsia" w:ascii="宋体" w:hAnsi="宋体" w:cs="宋体"/>
          <w:szCs w:val="21"/>
        </w:rPr>
        <w:t>严</w:t>
      </w:r>
      <w:r>
        <w:rPr>
          <w:rFonts w:hint="eastAsia" w:ascii="宋体" w:hAnsi="宋体" w:cs="DotumChe"/>
          <w:szCs w:val="21"/>
        </w:rPr>
        <w:t>注</w:t>
      </w:r>
      <w:r>
        <w:rPr>
          <w:rFonts w:hint="eastAsia" w:ascii="宋体" w:hAnsi="宋体" w:cs="宋体"/>
          <w:szCs w:val="21"/>
        </w:rPr>
        <w:t>浆</w:t>
      </w:r>
      <w:r>
        <w:rPr>
          <w:rFonts w:hint="eastAsia" w:ascii="宋体" w:hAnsi="宋体" w:cs="DotumChe"/>
          <w:szCs w:val="21"/>
        </w:rPr>
        <w:t>；短</w:t>
      </w:r>
      <w:r>
        <w:rPr>
          <w:rFonts w:hint="eastAsia" w:ascii="宋体" w:hAnsi="宋体" w:cs="宋体"/>
          <w:szCs w:val="21"/>
        </w:rPr>
        <w:t>开挖</w:t>
      </w:r>
      <w:r>
        <w:rPr>
          <w:rFonts w:hint="eastAsia" w:ascii="宋体" w:hAnsi="宋体" w:cs="DotumChe"/>
          <w:szCs w:val="21"/>
        </w:rPr>
        <w:t>，强支</w:t>
      </w:r>
      <w:r>
        <w:rPr>
          <w:rFonts w:hint="eastAsia" w:ascii="宋体" w:hAnsi="宋体" w:cs="宋体"/>
          <w:szCs w:val="21"/>
        </w:rPr>
        <w:t>护</w:t>
      </w:r>
      <w:r>
        <w:rPr>
          <w:rFonts w:hint="eastAsia" w:ascii="宋体" w:hAnsi="宋体" w:cs="DotumChe"/>
          <w:szCs w:val="21"/>
        </w:rPr>
        <w:t>；早封</w:t>
      </w:r>
      <w:r>
        <w:rPr>
          <w:rFonts w:hint="eastAsia" w:ascii="宋体" w:hAnsi="宋体" w:cs="宋体"/>
          <w:szCs w:val="21"/>
        </w:rPr>
        <w:t>闭</w:t>
      </w:r>
      <w:r>
        <w:rPr>
          <w:rFonts w:hint="eastAsia" w:ascii="宋体" w:hAnsi="宋体" w:cs="DotumChe"/>
          <w:szCs w:val="21"/>
        </w:rPr>
        <w:t>，勤</w:t>
      </w:r>
      <w:r>
        <w:rPr>
          <w:rFonts w:hint="eastAsia" w:ascii="宋体" w:hAnsi="宋体" w:cs="宋体"/>
          <w:szCs w:val="21"/>
        </w:rPr>
        <w:t>测</w:t>
      </w:r>
      <w:r>
        <w:rPr>
          <w:rFonts w:hint="eastAsia" w:ascii="宋体" w:hAnsi="宋体" w:cs="DotumChe"/>
          <w:szCs w:val="21"/>
        </w:rPr>
        <w:t>量）</w:t>
      </w:r>
      <w:r>
        <w:rPr>
          <w:rFonts w:hint="eastAsia" w:ascii="宋体" w:hAnsi="宋体" w:cs="宋体"/>
          <w:szCs w:val="21"/>
        </w:rPr>
        <w:t>进</w:t>
      </w:r>
      <w:r>
        <w:rPr>
          <w:rFonts w:hint="eastAsia" w:ascii="宋体" w:hAnsi="宋体" w:cs="DotumChe"/>
          <w:szCs w:val="21"/>
        </w:rPr>
        <w:t>行施工</w:t>
      </w:r>
      <w:r>
        <w:rPr>
          <w:rFonts w:hint="eastAsia"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.0.13</w:t>
      </w:r>
      <w:r>
        <w:rPr>
          <w:rFonts w:hint="eastAsia"/>
          <w:b/>
          <w:szCs w:val="21"/>
        </w:rPr>
        <w:t xml:space="preserve"> </w:t>
      </w:r>
      <w:r>
        <w:rPr>
          <w:rFonts w:hint="eastAsia" w:ascii="宋体" w:hAnsi="宋体"/>
          <w:b/>
          <w:szCs w:val="21"/>
        </w:rPr>
        <w:t>盾</w:t>
      </w:r>
      <w:r>
        <w:rPr>
          <w:rFonts w:hint="eastAsia" w:ascii="宋体" w:hAnsi="宋体" w:cs="宋体"/>
          <w:b/>
          <w:szCs w:val="21"/>
        </w:rPr>
        <w:t>构</w:t>
      </w:r>
    </w:p>
    <w:p>
      <w:pPr>
        <w:spacing w:line="360" w:lineRule="exact"/>
        <w:ind w:right="210" w:firstLine="420" w:firstLineChars="200"/>
        <w:rPr>
          <w:rFonts w:ascii="宋体" w:hAnsi="宋体"/>
          <w:color w:val="FF0000"/>
          <w:szCs w:val="21"/>
        </w:rPr>
      </w:pPr>
      <w:r>
        <w:rPr>
          <w:rFonts w:hint="eastAsia" w:ascii="宋体" w:hAnsi="宋体"/>
          <w:szCs w:val="21"/>
        </w:rPr>
        <w:t>在</w:t>
      </w:r>
      <w:r>
        <w:rPr>
          <w:rFonts w:hint="eastAsia" w:ascii="宋体" w:hAnsi="宋体" w:cs="宋体"/>
          <w:szCs w:val="21"/>
        </w:rPr>
        <w:t>钢壳</w:t>
      </w:r>
      <w:r>
        <w:rPr>
          <w:rFonts w:hint="eastAsia" w:ascii="宋体" w:hAnsi="宋体" w:cs="DotumChe"/>
          <w:szCs w:val="21"/>
        </w:rPr>
        <w:t>保</w:t>
      </w:r>
      <w:r>
        <w:rPr>
          <w:rFonts w:hint="eastAsia" w:ascii="宋体" w:hAnsi="宋体" w:cs="宋体"/>
          <w:szCs w:val="21"/>
        </w:rPr>
        <w:t>护</w:t>
      </w:r>
      <w:r>
        <w:rPr>
          <w:rFonts w:hint="eastAsia" w:ascii="宋体" w:hAnsi="宋体" w:cs="DotumChe"/>
          <w:szCs w:val="21"/>
        </w:rPr>
        <w:t>下完成隧道掘</w:t>
      </w:r>
      <w:r>
        <w:rPr>
          <w:rFonts w:hint="eastAsia" w:ascii="宋体" w:hAnsi="宋体" w:cs="宋体"/>
          <w:szCs w:val="21"/>
        </w:rPr>
        <w:t>进</w:t>
      </w:r>
      <w:r>
        <w:rPr>
          <w:rFonts w:hint="eastAsia" w:ascii="宋体" w:hAnsi="宋体" w:cs="DotumChe"/>
          <w:szCs w:val="21"/>
        </w:rPr>
        <w:t>、出渣、管片</w:t>
      </w:r>
      <w:r>
        <w:rPr>
          <w:rFonts w:hint="eastAsia" w:ascii="宋体" w:hAnsi="宋体" w:cs="宋体"/>
          <w:szCs w:val="21"/>
        </w:rPr>
        <w:t>拼</w:t>
      </w:r>
      <w:r>
        <w:rPr>
          <w:rFonts w:hint="eastAsia" w:ascii="宋体" w:hAnsi="宋体" w:cs="DotumChe"/>
          <w:szCs w:val="21"/>
        </w:rPr>
        <w:t>装等作</w:t>
      </w:r>
      <w:r>
        <w:rPr>
          <w:rFonts w:hint="eastAsia" w:ascii="宋体" w:hAnsi="宋体" w:cs="宋体"/>
          <w:szCs w:val="21"/>
        </w:rPr>
        <w:t>业</w:t>
      </w:r>
      <w:r>
        <w:rPr>
          <w:rFonts w:hint="eastAsia" w:ascii="宋体" w:hAnsi="宋体" w:cs="DotumChe"/>
          <w:szCs w:val="21"/>
        </w:rPr>
        <w:t>，由主机和后配套</w:t>
      </w:r>
      <w:r>
        <w:rPr>
          <w:rFonts w:hint="eastAsia" w:ascii="宋体" w:hAnsi="宋体" w:cs="宋体"/>
          <w:szCs w:val="21"/>
        </w:rPr>
        <w:t>设备组</w:t>
      </w:r>
      <w:r>
        <w:rPr>
          <w:rFonts w:hint="eastAsia" w:ascii="宋体" w:hAnsi="宋体" w:cs="DotumChe"/>
          <w:szCs w:val="21"/>
        </w:rPr>
        <w:t>成的全</w:t>
      </w:r>
      <w:r>
        <w:rPr>
          <w:rFonts w:hint="eastAsia" w:ascii="宋体" w:hAnsi="宋体" w:cs="宋体"/>
          <w:szCs w:val="21"/>
        </w:rPr>
        <w:t>断</w:t>
      </w:r>
      <w:r>
        <w:rPr>
          <w:rFonts w:hint="eastAsia" w:ascii="宋体" w:hAnsi="宋体" w:cs="DotumChe"/>
          <w:szCs w:val="21"/>
        </w:rPr>
        <w:t>面推</w:t>
      </w:r>
      <w:r>
        <w:rPr>
          <w:rFonts w:hint="eastAsia" w:ascii="宋体" w:hAnsi="宋体" w:cs="宋体"/>
          <w:szCs w:val="21"/>
        </w:rPr>
        <w:t>进</w:t>
      </w:r>
      <w:r>
        <w:rPr>
          <w:rFonts w:hint="eastAsia" w:ascii="宋体" w:hAnsi="宋体" w:cs="DotumChe"/>
          <w:szCs w:val="21"/>
        </w:rPr>
        <w:t>式隧道施工机械</w:t>
      </w:r>
      <w:r>
        <w:rPr>
          <w:rFonts w:hint="eastAsia" w:ascii="宋体" w:hAnsi="宋体" w:cs="宋体"/>
          <w:szCs w:val="21"/>
        </w:rPr>
        <w:t>设备</w:t>
      </w:r>
      <w:r>
        <w:rPr>
          <w:rFonts w:hint="eastAsia" w:ascii="宋体" w:hAnsi="宋体" w:cs="DotumChe"/>
          <w:szCs w:val="21"/>
        </w:rPr>
        <w:t>。根据</w:t>
      </w:r>
      <w:r>
        <w:rPr>
          <w:rFonts w:hint="eastAsia" w:ascii="宋体" w:hAnsi="宋体" w:cs="宋体"/>
          <w:szCs w:val="21"/>
        </w:rPr>
        <w:t>开挖</w:t>
      </w:r>
      <w:r>
        <w:rPr>
          <w:rFonts w:hint="eastAsia" w:ascii="宋体" w:hAnsi="宋体" w:cs="DotumChe"/>
          <w:szCs w:val="21"/>
        </w:rPr>
        <w:t>面的</w:t>
      </w:r>
      <w:r>
        <w:rPr>
          <w:rFonts w:hint="eastAsia" w:ascii="宋体" w:hAnsi="宋体" w:cs="宋体"/>
          <w:szCs w:val="21"/>
        </w:rPr>
        <w:t>稳</w:t>
      </w:r>
      <w:r>
        <w:rPr>
          <w:rFonts w:hint="eastAsia" w:ascii="宋体" w:hAnsi="宋体" w:cs="DotumChe"/>
          <w:szCs w:val="21"/>
        </w:rPr>
        <w:t>定方式，分</w:t>
      </w:r>
      <w:r>
        <w:rPr>
          <w:rFonts w:hint="eastAsia" w:ascii="宋体" w:hAnsi="宋体" w:cs="宋体"/>
          <w:szCs w:val="21"/>
        </w:rPr>
        <w:t>为</w:t>
      </w:r>
      <w:r>
        <w:rPr>
          <w:rFonts w:hint="eastAsia" w:ascii="宋体" w:hAnsi="宋体" w:cs="DotumChe"/>
          <w:szCs w:val="21"/>
        </w:rPr>
        <w:t>土</w:t>
      </w:r>
      <w:r>
        <w:rPr>
          <w:rFonts w:hint="eastAsia" w:ascii="宋体" w:hAnsi="宋体" w:cs="宋体"/>
          <w:szCs w:val="21"/>
        </w:rPr>
        <w:t>压</w:t>
      </w:r>
      <w:r>
        <w:rPr>
          <w:rFonts w:hint="eastAsia" w:ascii="宋体" w:hAnsi="宋体" w:cs="DotumChe"/>
          <w:szCs w:val="21"/>
        </w:rPr>
        <w:t>平衡式盾</w:t>
      </w:r>
      <w:r>
        <w:rPr>
          <w:rFonts w:hint="eastAsia" w:ascii="宋体" w:hAnsi="宋体" w:cs="宋体"/>
          <w:szCs w:val="21"/>
        </w:rPr>
        <w:t>构</w:t>
      </w:r>
      <w:r>
        <w:rPr>
          <w:rFonts w:hint="eastAsia" w:ascii="宋体" w:hAnsi="宋体" w:cs="DotumChe"/>
          <w:szCs w:val="21"/>
        </w:rPr>
        <w:t>、泥水平衡式盾</w:t>
      </w:r>
      <w:r>
        <w:rPr>
          <w:rFonts w:hint="eastAsia" w:ascii="宋体" w:hAnsi="宋体" w:cs="宋体"/>
          <w:szCs w:val="21"/>
        </w:rPr>
        <w:t>构</w:t>
      </w:r>
      <w:r>
        <w:rPr>
          <w:rFonts w:hint="eastAsia" w:ascii="宋体" w:hAnsi="宋体" w:cs="DotumChe"/>
          <w:szCs w:val="21"/>
        </w:rPr>
        <w:t>、敞</w:t>
      </w:r>
      <w:r>
        <w:rPr>
          <w:rFonts w:hint="eastAsia" w:ascii="宋体" w:hAnsi="宋体" w:cs="宋体"/>
          <w:szCs w:val="21"/>
        </w:rPr>
        <w:t>开</w:t>
      </w:r>
      <w:r>
        <w:rPr>
          <w:rFonts w:hint="eastAsia" w:ascii="宋体" w:hAnsi="宋体" w:cs="DotumChe"/>
          <w:szCs w:val="21"/>
        </w:rPr>
        <w:t>式盾</w:t>
      </w:r>
      <w:r>
        <w:rPr>
          <w:rFonts w:hint="eastAsia" w:ascii="宋体" w:hAnsi="宋体" w:cs="宋体"/>
          <w:szCs w:val="21"/>
        </w:rPr>
        <w:t>构</w:t>
      </w:r>
      <w:r>
        <w:rPr>
          <w:rFonts w:hint="eastAsia" w:ascii="宋体" w:hAnsi="宋体" w:cs="DotumChe"/>
          <w:szCs w:val="21"/>
        </w:rPr>
        <w:t>和</w:t>
      </w:r>
      <w:r>
        <w:rPr>
          <w:rFonts w:hint="eastAsia" w:ascii="宋体" w:hAnsi="宋体" w:cs="宋体"/>
          <w:szCs w:val="21"/>
        </w:rPr>
        <w:t>气压</w:t>
      </w:r>
      <w:r>
        <w:rPr>
          <w:rFonts w:hint="eastAsia" w:ascii="宋体" w:hAnsi="宋体" w:cs="DotumChe"/>
          <w:szCs w:val="21"/>
        </w:rPr>
        <w:t>平衡式盾</w:t>
      </w:r>
      <w:r>
        <w:rPr>
          <w:rFonts w:hint="eastAsia" w:ascii="宋体" w:hAnsi="宋体" w:cs="宋体"/>
          <w:szCs w:val="21"/>
        </w:rPr>
        <w:t>构</w:t>
      </w:r>
      <w:r>
        <w:rPr>
          <w:rFonts w:hint="eastAsia"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.0.14</w:t>
      </w:r>
      <w:r>
        <w:rPr>
          <w:rFonts w:hint="eastAsia"/>
          <w:b/>
          <w:szCs w:val="21"/>
        </w:rPr>
        <w:t xml:space="preserve"> </w:t>
      </w:r>
      <w:r>
        <w:rPr>
          <w:rFonts w:hint="eastAsia" w:ascii="宋体" w:hAnsi="宋体" w:cs="宋体"/>
          <w:b/>
          <w:szCs w:val="21"/>
        </w:rPr>
        <w:t>顶</w:t>
      </w:r>
      <w:r>
        <w:rPr>
          <w:rFonts w:hint="eastAsia" w:ascii="宋体" w:hAnsi="宋体" w:cs="DotumChe"/>
          <w:b/>
          <w:szCs w:val="21"/>
        </w:rPr>
        <w:t>管施工</w:t>
      </w:r>
    </w:p>
    <w:p>
      <w:pPr>
        <w:spacing w:line="360" w:lineRule="exact"/>
        <w:ind w:right="210" w:firstLine="420" w:firstLineChars="200"/>
        <w:rPr>
          <w:rFonts w:ascii="宋体" w:hAnsi="宋体"/>
          <w:szCs w:val="21"/>
        </w:rPr>
      </w:pPr>
      <w:r>
        <w:rPr>
          <w:rFonts w:hint="eastAsia" w:ascii="宋体" w:hAnsi="宋体"/>
          <w:szCs w:val="21"/>
        </w:rPr>
        <w:t>在不</w:t>
      </w:r>
      <w:r>
        <w:rPr>
          <w:rFonts w:hint="eastAsia" w:ascii="宋体" w:hAnsi="宋体" w:cs="宋体"/>
          <w:szCs w:val="21"/>
        </w:rPr>
        <w:t>开挖</w:t>
      </w:r>
      <w:r>
        <w:rPr>
          <w:rFonts w:hint="eastAsia" w:ascii="宋体" w:hAnsi="宋体" w:cs="DotumChe"/>
          <w:szCs w:val="21"/>
        </w:rPr>
        <w:t>地表的情</w:t>
      </w:r>
      <w:r>
        <w:rPr>
          <w:rFonts w:hint="eastAsia" w:ascii="宋体" w:hAnsi="宋体" w:cs="宋体"/>
          <w:szCs w:val="21"/>
        </w:rPr>
        <w:t>况</w:t>
      </w:r>
      <w:r>
        <w:rPr>
          <w:rFonts w:hint="eastAsia" w:ascii="宋体" w:hAnsi="宋体" w:cs="DotumChe"/>
          <w:szCs w:val="21"/>
        </w:rPr>
        <w:t>下，利用</w:t>
      </w:r>
      <w:r>
        <w:rPr>
          <w:rFonts w:hint="eastAsia" w:ascii="宋体" w:hAnsi="宋体" w:cs="宋体"/>
          <w:szCs w:val="21"/>
        </w:rPr>
        <w:t>顶进设备将</w:t>
      </w:r>
      <w:r>
        <w:rPr>
          <w:rFonts w:hint="eastAsia" w:ascii="宋体" w:hAnsi="宋体" w:cs="DotumChe"/>
          <w:szCs w:val="21"/>
        </w:rPr>
        <w:t>待</w:t>
      </w:r>
      <w:r>
        <w:rPr>
          <w:rFonts w:hint="eastAsia" w:ascii="宋体" w:hAnsi="宋体" w:cs="宋体"/>
          <w:szCs w:val="21"/>
        </w:rPr>
        <w:t>铺</w:t>
      </w:r>
      <w:r>
        <w:rPr>
          <w:rFonts w:hint="eastAsia" w:ascii="宋体" w:hAnsi="宋体" w:cs="DotumChe"/>
          <w:szCs w:val="21"/>
        </w:rPr>
        <w:t>管道</w:t>
      </w:r>
      <w:r>
        <w:rPr>
          <w:rFonts w:hint="eastAsia" w:ascii="宋体" w:hAnsi="宋体" w:cs="宋体"/>
          <w:szCs w:val="21"/>
        </w:rPr>
        <w:t>顶</w:t>
      </w:r>
      <w:r>
        <w:rPr>
          <w:rFonts w:hint="eastAsia" w:ascii="宋体" w:hAnsi="宋体" w:cs="DotumChe"/>
          <w:szCs w:val="21"/>
        </w:rPr>
        <w:t>入，</w:t>
      </w:r>
      <w:r>
        <w:rPr>
          <w:rFonts w:hint="eastAsia" w:ascii="宋体" w:hAnsi="宋体" w:cs="宋体"/>
          <w:szCs w:val="21"/>
        </w:rPr>
        <w:t>并将</w:t>
      </w:r>
      <w:r>
        <w:rPr>
          <w:rFonts w:hint="eastAsia" w:ascii="宋体" w:hAnsi="宋体" w:cs="DotumChe"/>
          <w:szCs w:val="21"/>
        </w:rPr>
        <w:t>土方</w:t>
      </w:r>
      <w:r>
        <w:rPr>
          <w:rFonts w:hint="eastAsia" w:ascii="宋体" w:hAnsi="宋体" w:cs="宋体"/>
          <w:szCs w:val="21"/>
        </w:rPr>
        <w:t>运</w:t>
      </w:r>
      <w:r>
        <w:rPr>
          <w:rFonts w:hint="eastAsia" w:ascii="宋体" w:hAnsi="宋体" w:cs="DotumChe"/>
          <w:szCs w:val="21"/>
        </w:rPr>
        <w:t>走的非</w:t>
      </w:r>
      <w:r>
        <w:rPr>
          <w:rFonts w:hint="eastAsia" w:ascii="宋体" w:hAnsi="宋体" w:cs="宋体"/>
          <w:szCs w:val="21"/>
        </w:rPr>
        <w:t>开挖</w:t>
      </w:r>
      <w:r>
        <w:rPr>
          <w:rFonts w:hint="eastAsia" w:ascii="宋体" w:hAnsi="宋体" w:cs="DotumChe"/>
          <w:szCs w:val="21"/>
        </w:rPr>
        <w:t>地下管道施工技</w:t>
      </w:r>
      <w:r>
        <w:rPr>
          <w:rFonts w:hint="eastAsia" w:ascii="宋体" w:hAnsi="宋体" w:cs="宋体"/>
          <w:szCs w:val="21"/>
        </w:rPr>
        <w:t>术</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.0.15</w:t>
      </w:r>
      <w:r>
        <w:rPr>
          <w:rFonts w:hint="eastAsia"/>
          <w:b/>
          <w:szCs w:val="21"/>
        </w:rPr>
        <w:t xml:space="preserve"> </w:t>
      </w:r>
      <w:r>
        <w:rPr>
          <w:rFonts w:hint="eastAsia" w:ascii="宋体" w:hAnsi="宋体" w:cs="宋体"/>
          <w:b/>
          <w:szCs w:val="21"/>
        </w:rPr>
        <w:t>顶进桥</w:t>
      </w:r>
      <w:r>
        <w:rPr>
          <w:rFonts w:hint="eastAsia" w:ascii="宋体" w:hAnsi="宋体" w:cs="DotumChe"/>
          <w:b/>
          <w:szCs w:val="21"/>
        </w:rPr>
        <w:t>涵</w:t>
      </w:r>
    </w:p>
    <w:p>
      <w:pPr>
        <w:spacing w:line="360" w:lineRule="exact"/>
        <w:ind w:right="210" w:firstLine="420" w:firstLineChars="200"/>
        <w:rPr>
          <w:rFonts w:ascii="宋体" w:hAnsi="宋体"/>
          <w:szCs w:val="21"/>
        </w:rPr>
      </w:pPr>
      <w:r>
        <w:rPr>
          <w:rFonts w:hint="eastAsia" w:ascii="宋体" w:hAnsi="宋体"/>
          <w:szCs w:val="21"/>
        </w:rPr>
        <w:t>指穿越</w:t>
      </w:r>
      <w:r>
        <w:rPr>
          <w:rFonts w:hint="eastAsia" w:ascii="宋体" w:hAnsi="宋体" w:cs="宋体"/>
          <w:szCs w:val="21"/>
        </w:rPr>
        <w:t>既</w:t>
      </w:r>
      <w:r>
        <w:rPr>
          <w:rFonts w:hint="eastAsia" w:ascii="宋体" w:hAnsi="宋体" w:cs="DotumChe"/>
          <w:szCs w:val="21"/>
        </w:rPr>
        <w:t>有</w:t>
      </w:r>
      <w:r>
        <w:rPr>
          <w:rFonts w:hint="eastAsia" w:ascii="宋体" w:hAnsi="宋体" w:cs="宋体"/>
          <w:szCs w:val="21"/>
        </w:rPr>
        <w:t>铁</w:t>
      </w:r>
      <w:r>
        <w:rPr>
          <w:rFonts w:hint="eastAsia" w:ascii="宋体" w:hAnsi="宋体" w:cs="DotumChe"/>
          <w:szCs w:val="21"/>
        </w:rPr>
        <w:t>路、公路等的涵洞或立体交叉的</w:t>
      </w:r>
      <w:r>
        <w:rPr>
          <w:rFonts w:hint="eastAsia" w:ascii="宋体" w:hAnsi="宋体" w:cs="宋体"/>
          <w:szCs w:val="21"/>
        </w:rPr>
        <w:t>桥</w:t>
      </w:r>
      <w:r>
        <w:rPr>
          <w:rFonts w:hint="eastAsia" w:ascii="宋体" w:hAnsi="宋体" w:cs="DotumChe"/>
          <w:szCs w:val="21"/>
        </w:rPr>
        <w:t>梁，采用</w:t>
      </w:r>
      <w:r>
        <w:rPr>
          <w:rFonts w:hint="eastAsia" w:ascii="宋体" w:hAnsi="宋体" w:cs="宋体"/>
          <w:szCs w:val="21"/>
        </w:rPr>
        <w:t>桥</w:t>
      </w:r>
      <w:r>
        <w:rPr>
          <w:rFonts w:hint="eastAsia" w:ascii="宋体" w:hAnsi="宋体" w:cs="DotumChe"/>
          <w:szCs w:val="21"/>
        </w:rPr>
        <w:t>涵</w:t>
      </w:r>
      <w:r>
        <w:rPr>
          <w:rFonts w:hint="eastAsia" w:ascii="宋体" w:hAnsi="宋体" w:cs="宋体"/>
          <w:szCs w:val="21"/>
        </w:rPr>
        <w:t>结构</w:t>
      </w:r>
      <w:r>
        <w:rPr>
          <w:rFonts w:hint="eastAsia" w:ascii="宋体" w:hAnsi="宋体" w:cs="DotumChe"/>
          <w:szCs w:val="21"/>
        </w:rPr>
        <w:t>，用</w:t>
      </w:r>
      <w:r>
        <w:rPr>
          <w:rFonts w:hint="eastAsia" w:ascii="宋体" w:hAnsi="宋体" w:cs="宋体"/>
          <w:szCs w:val="21"/>
        </w:rPr>
        <w:t>顶进</w:t>
      </w:r>
      <w:r>
        <w:rPr>
          <w:rFonts w:hint="eastAsia" w:ascii="宋体" w:hAnsi="宋体" w:cs="DotumChe"/>
          <w:szCs w:val="21"/>
        </w:rPr>
        <w:t>法</w:t>
      </w:r>
      <w:r>
        <w:rPr>
          <w:rFonts w:hint="eastAsia" w:ascii="宋体" w:hAnsi="宋体" w:cs="宋体"/>
          <w:szCs w:val="21"/>
        </w:rPr>
        <w:t>进</w:t>
      </w:r>
      <w:r>
        <w:rPr>
          <w:rFonts w:hint="eastAsia" w:ascii="宋体" w:hAnsi="宋体" w:cs="DotumChe"/>
          <w:szCs w:val="21"/>
        </w:rPr>
        <w:t>行施工，也</w:t>
      </w:r>
      <w:r>
        <w:rPr>
          <w:rFonts w:hint="eastAsia" w:ascii="宋体" w:hAnsi="宋体" w:cs="宋体"/>
          <w:szCs w:val="21"/>
        </w:rPr>
        <w:t>称</w:t>
      </w:r>
      <w:r>
        <w:rPr>
          <w:rFonts w:hint="eastAsia" w:ascii="宋体" w:hAnsi="宋体" w:cs="DotumChe"/>
          <w:szCs w:val="21"/>
        </w:rPr>
        <w:t>“箱涵</w:t>
      </w:r>
      <w:r>
        <w:rPr>
          <w:rFonts w:hint="eastAsia" w:ascii="宋体" w:hAnsi="宋体" w:cs="宋体"/>
          <w:szCs w:val="21"/>
        </w:rPr>
        <w:t>顶进</w:t>
      </w:r>
      <w:r>
        <w:rPr>
          <w:rFonts w:hint="eastAsia" w:ascii="宋体" w:hAnsi="宋体" w:cs="DotumChe"/>
          <w:szCs w:val="21"/>
        </w:rPr>
        <w:t>”。可分</w:t>
      </w:r>
      <w:r>
        <w:rPr>
          <w:rFonts w:hint="eastAsia" w:ascii="宋体" w:hAnsi="宋体" w:cs="宋体"/>
          <w:szCs w:val="21"/>
        </w:rPr>
        <w:t>为</w:t>
      </w:r>
      <w:r>
        <w:rPr>
          <w:rFonts w:hint="eastAsia" w:ascii="宋体" w:hAnsi="宋体" w:cs="DotumChe"/>
          <w:szCs w:val="21"/>
        </w:rPr>
        <w:t>：箱</w:t>
      </w:r>
      <w:r>
        <w:rPr>
          <w:rFonts w:hint="eastAsia" w:ascii="宋体" w:hAnsi="宋体" w:cs="宋体"/>
          <w:szCs w:val="21"/>
        </w:rPr>
        <w:t>桥顶进</w:t>
      </w:r>
      <w:r>
        <w:rPr>
          <w:rFonts w:hint="eastAsia" w:ascii="宋体" w:hAnsi="宋体" w:cs="DotumChe"/>
          <w:szCs w:val="21"/>
        </w:rPr>
        <w:t>和小型涵管</w:t>
      </w:r>
      <w:r>
        <w:rPr>
          <w:rFonts w:hint="eastAsia" w:ascii="宋体" w:hAnsi="宋体" w:cs="宋体"/>
          <w:szCs w:val="21"/>
        </w:rPr>
        <w:t>顶进</w:t>
      </w:r>
      <w:r>
        <w:rPr>
          <w:rFonts w:hint="eastAsia" w:ascii="宋体" w:hAnsi="宋体"/>
          <w:szCs w:val="21"/>
        </w:rPr>
        <w:t>。</w:t>
      </w:r>
    </w:p>
    <w:p>
      <w:pPr>
        <w:tabs>
          <w:tab w:val="left" w:pos="142"/>
        </w:tabs>
        <w:spacing w:line="320" w:lineRule="exact"/>
        <w:ind w:right="-71" w:rightChars="-34"/>
        <w:rPr>
          <w:szCs w:val="21"/>
        </w:rPr>
      </w:pPr>
      <w:r>
        <w:rPr>
          <w:rFonts w:hint="eastAsia"/>
          <w:szCs w:val="21"/>
        </w:rPr>
        <w:t xml:space="preserve"> </w:t>
      </w:r>
    </w:p>
    <w:p>
      <w:pPr>
        <w:pStyle w:val="2"/>
        <w:rPr>
          <w:rFonts w:hint="eastAsia" w:eastAsia="宋体"/>
          <w:kern w:val="0"/>
          <w:lang w:eastAsia="zh-CN"/>
        </w:rPr>
      </w:pPr>
      <w:r>
        <w:rPr>
          <w:szCs w:val="21"/>
        </w:rPr>
        <w:br w:type="page"/>
      </w:r>
      <w:bookmarkStart w:id="9" w:name="_Toc357436242"/>
      <w:bookmarkStart w:id="10" w:name="_Toc5530"/>
      <w:r>
        <w:rPr>
          <w:kern w:val="0"/>
        </w:rPr>
        <w:t xml:space="preserve">3  </w:t>
      </w:r>
      <w:r>
        <w:rPr>
          <w:rFonts w:hAnsi="宋体"/>
          <w:kern w:val="0"/>
        </w:rPr>
        <w:t>基本</w:t>
      </w:r>
      <w:bookmarkEnd w:id="9"/>
      <w:r>
        <w:rPr>
          <w:rFonts w:hint="eastAsia" w:hAnsi="宋体"/>
          <w:kern w:val="0"/>
          <w:lang w:val="en-US" w:eastAsia="zh-CN"/>
        </w:rPr>
        <w:t>条款</w:t>
      </w:r>
      <w:bookmarkEnd w:id="10"/>
    </w:p>
    <w:p>
      <w:pPr>
        <w:tabs>
          <w:tab w:val="left" w:pos="142"/>
        </w:tabs>
        <w:spacing w:line="400" w:lineRule="exact"/>
        <w:ind w:right="-71" w:rightChars="-34"/>
        <w:jc w:val="left"/>
        <w:rPr>
          <w:bCs/>
          <w:szCs w:val="21"/>
        </w:rPr>
      </w:pPr>
      <w:r>
        <w:rPr>
          <w:rFonts w:hint="eastAsia"/>
          <w:b/>
          <w:bCs/>
          <w:szCs w:val="21"/>
        </w:rPr>
        <w:t>3.0.1</w:t>
      </w:r>
      <w:r>
        <w:rPr>
          <w:rFonts w:hint="eastAsia"/>
          <w:bCs/>
          <w:szCs w:val="21"/>
        </w:rPr>
        <w:t xml:space="preserve">  无资质证书或超资质承揽工程，或将工程进行转包、违法分包。</w:t>
      </w:r>
    </w:p>
    <w:p>
      <w:pPr>
        <w:tabs>
          <w:tab w:val="left" w:pos="142"/>
        </w:tabs>
        <w:spacing w:line="400" w:lineRule="exact"/>
        <w:ind w:right="-71" w:rightChars="-34"/>
        <w:jc w:val="left"/>
        <w:rPr>
          <w:bCs/>
          <w:szCs w:val="21"/>
        </w:rPr>
      </w:pPr>
      <w:r>
        <w:rPr>
          <w:rFonts w:hint="eastAsia"/>
          <w:b/>
          <w:bCs/>
          <w:szCs w:val="21"/>
        </w:rPr>
        <w:t>3.0.2</w:t>
      </w:r>
      <w:r>
        <w:rPr>
          <w:rFonts w:hint="eastAsia"/>
          <w:bCs/>
          <w:szCs w:val="21"/>
        </w:rPr>
        <w:t xml:space="preserve">  </w:t>
      </w:r>
      <w:r>
        <w:rPr>
          <w:rFonts w:hint="eastAsia"/>
          <w:bCs/>
          <w:szCs w:val="21"/>
          <w:lang w:val="en-US" w:eastAsia="zh-CN"/>
        </w:rPr>
        <w:t>施工单位</w:t>
      </w:r>
      <w:r>
        <w:rPr>
          <w:rFonts w:hint="eastAsia"/>
          <w:bCs/>
          <w:szCs w:val="21"/>
        </w:rPr>
        <w:t>未按规定数量配备专职安全生产管理人员。</w:t>
      </w:r>
    </w:p>
    <w:p>
      <w:pPr>
        <w:tabs>
          <w:tab w:val="left" w:pos="142"/>
        </w:tabs>
        <w:spacing w:line="400" w:lineRule="exact"/>
        <w:ind w:right="-71" w:rightChars="-34"/>
        <w:jc w:val="left"/>
        <w:rPr>
          <w:bCs/>
          <w:szCs w:val="21"/>
        </w:rPr>
      </w:pPr>
      <w:r>
        <w:rPr>
          <w:rFonts w:hint="eastAsia"/>
          <w:b/>
          <w:bCs/>
          <w:szCs w:val="21"/>
        </w:rPr>
        <w:t>3.0.3</w:t>
      </w:r>
      <w:r>
        <w:rPr>
          <w:rFonts w:hint="eastAsia"/>
          <w:bCs/>
          <w:szCs w:val="21"/>
        </w:rPr>
        <w:t xml:space="preserve">  危险性较大的分部分项工程（以下简称“危大工程”）未编制、审核专项施工方案，未按规定对超过一定规模的危险性较大的分部分项工程（以下简称“超危大工程”）专项施工方案进行专家论证；未根据专家论证报告对超危大工程专项施工方案进行修改，或者未重新组织专家论证；未严格按照专项施工方案组织施工。</w:t>
      </w:r>
    </w:p>
    <w:p>
      <w:pPr>
        <w:tabs>
          <w:tab w:val="left" w:pos="142"/>
        </w:tabs>
        <w:spacing w:line="400" w:lineRule="exact"/>
        <w:ind w:right="-71" w:rightChars="-34"/>
        <w:jc w:val="left"/>
        <w:rPr>
          <w:bCs/>
          <w:szCs w:val="21"/>
        </w:rPr>
      </w:pPr>
      <w:r>
        <w:rPr>
          <w:rFonts w:hint="eastAsia"/>
          <w:b/>
          <w:bCs/>
          <w:szCs w:val="21"/>
        </w:rPr>
        <w:t>3.0.4</w:t>
      </w:r>
      <w:r>
        <w:rPr>
          <w:rFonts w:hint="eastAsia"/>
          <w:bCs/>
          <w:szCs w:val="21"/>
        </w:rPr>
        <w:t xml:space="preserve">  对于按照规定需要验收的危险性较大的分部分项工程，未验收合格即进入下一道工序。</w:t>
      </w:r>
    </w:p>
    <w:p>
      <w:pPr>
        <w:tabs>
          <w:tab w:val="left" w:pos="142"/>
        </w:tabs>
        <w:spacing w:line="400" w:lineRule="exact"/>
        <w:ind w:right="-71" w:rightChars="-34"/>
        <w:jc w:val="left"/>
        <w:rPr>
          <w:bCs/>
          <w:szCs w:val="21"/>
        </w:rPr>
      </w:pPr>
      <w:r>
        <w:rPr>
          <w:rFonts w:hint="eastAsia"/>
          <w:b/>
          <w:bCs/>
          <w:szCs w:val="21"/>
        </w:rPr>
        <w:t>3.0.5</w:t>
      </w:r>
      <w:r>
        <w:rPr>
          <w:rFonts w:hint="eastAsia"/>
          <w:bCs/>
          <w:szCs w:val="21"/>
        </w:rPr>
        <w:t xml:space="preserve">  特种作业人员未持证上岗。</w:t>
      </w:r>
    </w:p>
    <w:p>
      <w:pPr>
        <w:tabs>
          <w:tab w:val="left" w:pos="142"/>
        </w:tabs>
        <w:spacing w:line="400" w:lineRule="exact"/>
        <w:ind w:right="-71" w:rightChars="-34"/>
        <w:jc w:val="left"/>
        <w:rPr>
          <w:rFonts w:hint="eastAsia"/>
          <w:bCs/>
          <w:szCs w:val="21"/>
        </w:rPr>
      </w:pPr>
      <w:r>
        <w:rPr>
          <w:rFonts w:hint="eastAsia"/>
          <w:b/>
          <w:bCs/>
          <w:szCs w:val="21"/>
        </w:rPr>
        <w:t>3.0.6</w:t>
      </w:r>
      <w:r>
        <w:rPr>
          <w:rFonts w:hint="eastAsia"/>
          <w:bCs/>
          <w:szCs w:val="21"/>
        </w:rPr>
        <w:t xml:space="preserve">  模板支撑体系和脚手架体系所使用的材料和构配件，未提供产品合格证及质量检验报告；未验收或验收不合格投入使用。</w:t>
      </w:r>
    </w:p>
    <w:p>
      <w:pPr>
        <w:tabs>
          <w:tab w:val="left" w:pos="142"/>
        </w:tabs>
        <w:spacing w:line="400" w:lineRule="exact"/>
        <w:ind w:right="-71" w:rightChars="-34"/>
        <w:jc w:val="left"/>
        <w:rPr>
          <w:rFonts w:hint="eastAsia"/>
          <w:bCs/>
        </w:rPr>
      </w:pPr>
      <w:r>
        <w:rPr>
          <w:rFonts w:hint="eastAsia"/>
          <w:b/>
          <w:bCs/>
          <w:szCs w:val="21"/>
        </w:rPr>
        <w:t>3.0.7</w:t>
      </w:r>
      <w:r>
        <w:rPr>
          <w:rFonts w:hint="eastAsia"/>
          <w:bCs/>
          <w:szCs w:val="21"/>
        </w:rPr>
        <w:t xml:space="preserve">  </w:t>
      </w:r>
      <w:r>
        <w:rPr>
          <w:rFonts w:hint="eastAsia"/>
          <w:bCs/>
        </w:rPr>
        <w:t>影响工程施工安全的新技术、新工艺、新材料、新设备进入施工现场，未提供企业标准、成果鉴定、检测报告、产品合格证，未进行专家论证。</w:t>
      </w:r>
    </w:p>
    <w:p>
      <w:pPr>
        <w:tabs>
          <w:tab w:val="left" w:pos="142"/>
        </w:tabs>
        <w:spacing w:line="400" w:lineRule="exact"/>
        <w:ind w:right="-71" w:rightChars="-34"/>
        <w:jc w:val="left"/>
        <w:rPr>
          <w:rFonts w:hint="eastAsia" w:eastAsia="宋体"/>
          <w:bCs/>
          <w:lang w:val="en-US" w:eastAsia="zh-CN"/>
        </w:rPr>
      </w:pPr>
      <w:r>
        <w:rPr>
          <w:rFonts w:hint="eastAsia"/>
          <w:b/>
          <w:bCs w:val="0"/>
          <w:lang w:val="en-US" w:eastAsia="zh-CN"/>
        </w:rPr>
        <w:t xml:space="preserve">3.0.8 </w:t>
      </w:r>
      <w:r>
        <w:rPr>
          <w:rFonts w:hint="eastAsia"/>
          <w:bCs/>
          <w:lang w:val="en-US" w:eastAsia="zh-CN"/>
        </w:rPr>
        <w:t xml:space="preserve"> 施工现场</w:t>
      </w:r>
      <w:r>
        <w:rPr>
          <w:rFonts w:hint="eastAsia"/>
          <w:bCs/>
          <w:szCs w:val="21"/>
        </w:rPr>
        <w:t>其他可能引起公共安全，较大及以上级别生产安全事故的隐患。</w:t>
      </w:r>
    </w:p>
    <w:p>
      <w:pPr>
        <w:pStyle w:val="2"/>
        <w:rPr>
          <w:rFonts w:hint="eastAsia" w:eastAsia="宋体"/>
          <w:szCs w:val="21"/>
          <w:lang w:eastAsia="zh-CN"/>
        </w:rPr>
      </w:pPr>
      <w:r>
        <w:rPr>
          <w:szCs w:val="21"/>
        </w:rPr>
        <w:br w:type="page"/>
      </w:r>
      <w:bookmarkStart w:id="11" w:name="_Toc25404"/>
      <w:r>
        <w:rPr>
          <w:kern w:val="0"/>
        </w:rPr>
        <w:t xml:space="preserve">4  </w:t>
      </w:r>
      <w:bookmarkEnd w:id="1"/>
      <w:bookmarkEnd w:id="2"/>
      <w:r>
        <w:rPr>
          <w:rFonts w:hint="eastAsia"/>
          <w:kern w:val="0"/>
        </w:rPr>
        <w:t>房屋建筑工程</w:t>
      </w:r>
      <w:bookmarkEnd w:id="11"/>
      <w:r>
        <w:rPr>
          <w:rFonts w:hint="eastAsia"/>
          <w:kern w:val="0"/>
          <w:lang w:eastAsia="zh-CN"/>
        </w:rPr>
        <w:t>重大生产安全事故隐患</w:t>
      </w:r>
    </w:p>
    <w:p>
      <w:pPr>
        <w:pStyle w:val="3"/>
        <w:spacing w:before="340" w:after="100" w:afterAutospacing="1" w:line="400" w:lineRule="exact"/>
        <w:rPr>
          <w:rFonts w:ascii="黑体" w:hAnsi="黑体" w:cs="黑体"/>
          <w:kern w:val="44"/>
          <w:szCs w:val="24"/>
        </w:rPr>
      </w:pPr>
      <w:bookmarkStart w:id="12" w:name="_Toc5143"/>
      <w:r>
        <w:rPr>
          <w:rFonts w:ascii="Times New Roman" w:hAnsi="Times New Roman"/>
          <w:kern w:val="44"/>
          <w:szCs w:val="24"/>
        </w:rPr>
        <w:t>4.1</w:t>
      </w:r>
      <w:r>
        <w:rPr>
          <w:rFonts w:hint="eastAsia" w:ascii="黑体" w:hAnsi="黑体" w:cs="黑体"/>
          <w:kern w:val="44"/>
          <w:szCs w:val="24"/>
        </w:rPr>
        <w:t xml:space="preserve">  基坑工程</w:t>
      </w:r>
      <w:bookmarkEnd w:id="12"/>
    </w:p>
    <w:p>
      <w:pPr>
        <w:spacing w:line="400" w:lineRule="exact"/>
        <w:rPr>
          <w:rFonts w:ascii="宋体" w:hAnsi="宋体"/>
          <w:szCs w:val="21"/>
        </w:rPr>
      </w:pPr>
      <w:r>
        <w:rPr>
          <w:rFonts w:hint="eastAsia"/>
          <w:b/>
          <w:szCs w:val="21"/>
        </w:rPr>
        <w:t>4.1</w:t>
      </w:r>
      <w:r>
        <w:rPr>
          <w:b/>
          <w:szCs w:val="21"/>
        </w:rPr>
        <w:t xml:space="preserve">.1 </w:t>
      </w:r>
      <w:r>
        <w:rPr>
          <w:rFonts w:hint="eastAsia"/>
          <w:b/>
          <w:szCs w:val="21"/>
        </w:rPr>
        <w:t xml:space="preserve"> </w:t>
      </w:r>
      <w:r>
        <w:rPr>
          <w:rFonts w:hint="eastAsia" w:ascii="宋体" w:hAnsi="宋体" w:cs="宋体"/>
          <w:bCs/>
          <w:szCs w:val="21"/>
        </w:rPr>
        <w:t>对</w:t>
      </w:r>
      <w:r>
        <w:rPr>
          <w:rFonts w:hint="eastAsia" w:ascii="宋体" w:hAnsi="宋体" w:cs="宋体"/>
          <w:szCs w:val="21"/>
        </w:rPr>
        <w:t>可</w:t>
      </w:r>
      <w:r>
        <w:rPr>
          <w:rFonts w:hint="eastAsia" w:ascii="宋体" w:hAnsi="宋体"/>
          <w:szCs w:val="21"/>
        </w:rPr>
        <w:t>能造成损害的毗邻建筑物、构筑物和地下管线等</w:t>
      </w:r>
      <w:r>
        <w:rPr>
          <w:rFonts w:ascii="宋体" w:hAnsi="宋体"/>
          <w:szCs w:val="21"/>
        </w:rPr>
        <w:t>,</w:t>
      </w:r>
      <w:r>
        <w:rPr>
          <w:rFonts w:hint="eastAsia" w:ascii="宋体" w:hAnsi="宋体"/>
          <w:szCs w:val="21"/>
        </w:rPr>
        <w:t>未采取专项防护措施。</w:t>
      </w:r>
    </w:p>
    <w:p>
      <w:pPr>
        <w:spacing w:line="400" w:lineRule="exact"/>
        <w:rPr>
          <w:bCs/>
          <w:szCs w:val="21"/>
        </w:rPr>
      </w:pPr>
      <w:r>
        <w:rPr>
          <w:rFonts w:hint="eastAsia"/>
          <w:b/>
          <w:szCs w:val="21"/>
        </w:rPr>
        <w:t>4.1</w:t>
      </w:r>
      <w:r>
        <w:rPr>
          <w:b/>
          <w:szCs w:val="21"/>
        </w:rPr>
        <w:t>.2</w:t>
      </w:r>
      <w:r>
        <w:rPr>
          <w:rFonts w:hint="eastAsia"/>
          <w:b/>
          <w:szCs w:val="21"/>
        </w:rPr>
        <w:t xml:space="preserve">  </w:t>
      </w:r>
      <w:r>
        <w:rPr>
          <w:rFonts w:hint="eastAsia"/>
          <w:bCs/>
          <w:szCs w:val="21"/>
        </w:rPr>
        <w:t>基坑土方超挖且支护不及时。</w:t>
      </w:r>
    </w:p>
    <w:p>
      <w:pPr>
        <w:spacing w:line="400" w:lineRule="exact"/>
        <w:rPr>
          <w:b/>
          <w:szCs w:val="21"/>
        </w:rPr>
      </w:pPr>
      <w:r>
        <w:rPr>
          <w:rFonts w:hint="eastAsia"/>
          <w:b/>
          <w:szCs w:val="21"/>
        </w:rPr>
        <w:t xml:space="preserve">4.1.3  </w:t>
      </w:r>
      <w:r>
        <w:rPr>
          <w:rFonts w:hint="eastAsia"/>
          <w:bCs/>
          <w:szCs w:val="21"/>
        </w:rPr>
        <w:t>深基坑未进行第三方监测。</w:t>
      </w:r>
    </w:p>
    <w:p>
      <w:pPr>
        <w:spacing w:line="400" w:lineRule="exact"/>
        <w:rPr>
          <w:b/>
          <w:szCs w:val="21"/>
        </w:rPr>
      </w:pPr>
      <w:r>
        <w:rPr>
          <w:rFonts w:hint="eastAsia"/>
          <w:b/>
          <w:szCs w:val="21"/>
        </w:rPr>
        <w:t xml:space="preserve">4.1.4  </w:t>
      </w:r>
      <w:r>
        <w:rPr>
          <w:rFonts w:hint="eastAsia"/>
          <w:bCs/>
          <w:szCs w:val="21"/>
        </w:rPr>
        <w:t>基坑边堆置土、料具等荷载超过设计限值。</w:t>
      </w:r>
    </w:p>
    <w:p>
      <w:pPr>
        <w:pStyle w:val="3"/>
      </w:pPr>
      <w:bookmarkStart w:id="13" w:name="_Toc29430"/>
      <w:r>
        <w:t>4.2</w:t>
      </w:r>
      <w:r>
        <w:rPr>
          <w:rFonts w:hint="eastAsia"/>
        </w:rPr>
        <w:t xml:space="preserve">  模</w:t>
      </w:r>
      <w:r>
        <w:rPr>
          <w:rFonts w:hint="eastAsia"/>
          <w:lang w:val="en-US" w:eastAsia="zh-CN"/>
        </w:rPr>
        <w:t>板</w:t>
      </w:r>
      <w:r>
        <w:rPr>
          <w:rFonts w:hint="eastAsia"/>
        </w:rPr>
        <w:t>工程</w:t>
      </w:r>
      <w:bookmarkEnd w:id="13"/>
    </w:p>
    <w:p>
      <w:pPr>
        <w:spacing w:line="400" w:lineRule="exact"/>
        <w:rPr>
          <w:rFonts w:ascii="宋体" w:hAnsi="宋体" w:cs="宋体"/>
          <w:bCs/>
          <w:szCs w:val="21"/>
        </w:rPr>
      </w:pPr>
      <w:r>
        <w:rPr>
          <w:rFonts w:hint="eastAsia"/>
          <w:b/>
          <w:szCs w:val="21"/>
        </w:rPr>
        <w:t>4.2</w:t>
      </w:r>
      <w:r>
        <w:rPr>
          <w:b/>
          <w:szCs w:val="21"/>
        </w:rPr>
        <w:t>.1</w:t>
      </w:r>
      <w:r>
        <w:rPr>
          <w:rFonts w:hint="eastAsia"/>
          <w:b/>
          <w:szCs w:val="21"/>
        </w:rPr>
        <w:t xml:space="preserve">  </w:t>
      </w:r>
      <w:r>
        <w:rPr>
          <w:rFonts w:hint="eastAsia" w:ascii="宋体" w:hAnsi="宋体" w:cs="宋体"/>
          <w:bCs/>
          <w:szCs w:val="21"/>
        </w:rPr>
        <w:t>基础承载力不满足设计要求。</w:t>
      </w:r>
    </w:p>
    <w:p>
      <w:pPr>
        <w:spacing w:line="400" w:lineRule="exact"/>
        <w:rPr>
          <w:rFonts w:ascii="宋体" w:hAnsi="宋体" w:cs="宋体"/>
          <w:bCs/>
          <w:szCs w:val="21"/>
        </w:rPr>
      </w:pPr>
      <w:r>
        <w:rPr>
          <w:rFonts w:hint="eastAsia"/>
          <w:b/>
          <w:szCs w:val="21"/>
        </w:rPr>
        <w:t>4.2</w:t>
      </w:r>
      <w:r>
        <w:rPr>
          <w:b/>
          <w:szCs w:val="21"/>
        </w:rPr>
        <w:t>.2</w:t>
      </w:r>
      <w:r>
        <w:rPr>
          <w:rFonts w:hint="eastAsia" w:ascii="宋体" w:hAnsi="宋体" w:cs="宋体"/>
          <w:bCs/>
          <w:szCs w:val="21"/>
        </w:rPr>
        <w:t xml:space="preserve">  模板支架高宽比超过规范要求时未采取加固措施。</w:t>
      </w:r>
    </w:p>
    <w:p>
      <w:pPr>
        <w:spacing w:line="400" w:lineRule="exact"/>
        <w:rPr>
          <w:rFonts w:ascii="宋体" w:hAnsi="宋体" w:cs="宋体"/>
          <w:bCs/>
          <w:szCs w:val="21"/>
        </w:rPr>
      </w:pPr>
      <w:r>
        <w:rPr>
          <w:rFonts w:hint="eastAsia"/>
          <w:b/>
          <w:szCs w:val="21"/>
        </w:rPr>
        <w:t>4.2</w:t>
      </w:r>
      <w:r>
        <w:rPr>
          <w:b/>
          <w:szCs w:val="21"/>
        </w:rPr>
        <w:t>.3</w:t>
      </w:r>
      <w:r>
        <w:rPr>
          <w:rFonts w:hint="eastAsia" w:ascii="宋体" w:hAnsi="宋体" w:cs="宋体"/>
          <w:bCs/>
          <w:szCs w:val="21"/>
        </w:rPr>
        <w:t xml:space="preserve">  钢筋等材料集中堆放或混凝土浇筑顺序未按方案规定进行，造成局部荷载大于设计值。</w:t>
      </w:r>
    </w:p>
    <w:p>
      <w:pPr>
        <w:spacing w:line="400" w:lineRule="exact"/>
        <w:rPr>
          <w:rFonts w:ascii="宋体" w:hAnsi="宋体" w:cs="宋体"/>
          <w:bCs/>
          <w:kern w:val="44"/>
          <w:szCs w:val="21"/>
        </w:rPr>
      </w:pPr>
      <w:r>
        <w:rPr>
          <w:rFonts w:hint="eastAsia"/>
          <w:b/>
          <w:szCs w:val="21"/>
        </w:rPr>
        <w:t>4.2</w:t>
      </w:r>
      <w:r>
        <w:rPr>
          <w:b/>
          <w:szCs w:val="21"/>
        </w:rPr>
        <w:t>.4</w:t>
      </w:r>
      <w:r>
        <w:rPr>
          <w:rFonts w:hint="eastAsia" w:ascii="宋体" w:hAnsi="宋体" w:cs="宋体"/>
          <w:bCs/>
          <w:szCs w:val="21"/>
        </w:rPr>
        <w:t xml:space="preserve">  模板支架拆除时，混凝土强度未达到设计、规范要求，或未按顺序拆除。</w:t>
      </w:r>
    </w:p>
    <w:p>
      <w:pPr>
        <w:pStyle w:val="3"/>
        <w:tabs>
          <w:tab w:val="left" w:pos="992"/>
        </w:tabs>
        <w:spacing w:before="340" w:after="100" w:afterAutospacing="1" w:line="400" w:lineRule="exact"/>
        <w:rPr>
          <w:rFonts w:ascii="黑体" w:hAnsi="黑体" w:cs="黑体"/>
          <w:kern w:val="44"/>
          <w:szCs w:val="24"/>
        </w:rPr>
      </w:pPr>
      <w:bookmarkStart w:id="14" w:name="_Toc1526"/>
      <w:r>
        <w:rPr>
          <w:rFonts w:ascii="Times New Roman" w:hAnsi="Times New Roman"/>
          <w:kern w:val="44"/>
          <w:szCs w:val="24"/>
        </w:rPr>
        <w:t>4.3</w:t>
      </w:r>
      <w:r>
        <w:rPr>
          <w:rFonts w:hint="eastAsia" w:ascii="黑体" w:hAnsi="黑体" w:cs="黑体"/>
          <w:kern w:val="44"/>
          <w:szCs w:val="24"/>
        </w:rPr>
        <w:t xml:space="preserve">  脚手架工程</w:t>
      </w:r>
      <w:bookmarkEnd w:id="14"/>
    </w:p>
    <w:p>
      <w:pPr>
        <w:spacing w:line="400" w:lineRule="exact"/>
        <w:rPr>
          <w:rFonts w:ascii="宋体" w:hAnsi="宋体" w:cs="宋体"/>
          <w:bCs/>
          <w:szCs w:val="21"/>
        </w:rPr>
      </w:pPr>
      <w:r>
        <w:rPr>
          <w:rFonts w:hint="eastAsia"/>
          <w:b/>
          <w:szCs w:val="21"/>
        </w:rPr>
        <w:t>4.3</w:t>
      </w:r>
      <w:r>
        <w:rPr>
          <w:b/>
          <w:szCs w:val="21"/>
        </w:rPr>
        <w:t>.1</w:t>
      </w:r>
      <w:r>
        <w:rPr>
          <w:rFonts w:hint="eastAsia" w:ascii="宋体" w:hAnsi="宋体" w:cs="宋体"/>
          <w:bCs/>
          <w:szCs w:val="21"/>
        </w:rPr>
        <w:t xml:space="preserve">  基础承载力不满足设计要求。</w:t>
      </w:r>
    </w:p>
    <w:p>
      <w:pPr>
        <w:spacing w:line="400" w:lineRule="exact"/>
        <w:rPr>
          <w:rFonts w:ascii="宋体" w:hAnsi="宋体" w:cs="宋体"/>
          <w:bCs/>
          <w:szCs w:val="21"/>
        </w:rPr>
      </w:pPr>
      <w:r>
        <w:rPr>
          <w:rFonts w:hint="eastAsia"/>
          <w:b/>
          <w:szCs w:val="21"/>
        </w:rPr>
        <w:t>4.3</w:t>
      </w:r>
      <w:r>
        <w:rPr>
          <w:b/>
          <w:szCs w:val="21"/>
        </w:rPr>
        <w:t>.2</w:t>
      </w:r>
      <w:r>
        <w:rPr>
          <w:rFonts w:hint="eastAsia" w:ascii="宋体" w:hAnsi="宋体" w:cs="宋体"/>
          <w:bCs/>
          <w:szCs w:val="21"/>
        </w:rPr>
        <w:t xml:space="preserve">  脚手架使用过程中，连墙件设置的位置、数量偏差较大或整层缺失。</w:t>
      </w:r>
    </w:p>
    <w:p>
      <w:pPr>
        <w:spacing w:line="400" w:lineRule="exact"/>
        <w:rPr>
          <w:rFonts w:ascii="宋体" w:hAnsi="宋体" w:cs="宋体"/>
          <w:bCs/>
          <w:szCs w:val="21"/>
        </w:rPr>
      </w:pPr>
      <w:r>
        <w:rPr>
          <w:rFonts w:hint="eastAsia"/>
          <w:b/>
          <w:szCs w:val="21"/>
        </w:rPr>
        <w:t>4.3</w:t>
      </w:r>
      <w:r>
        <w:rPr>
          <w:b/>
          <w:szCs w:val="21"/>
        </w:rPr>
        <w:t>.3</w:t>
      </w:r>
      <w:r>
        <w:rPr>
          <w:rFonts w:hint="eastAsia" w:ascii="宋体" w:hAnsi="宋体" w:cs="宋体"/>
          <w:bCs/>
          <w:szCs w:val="21"/>
        </w:rPr>
        <w:t xml:space="preserve">  将模板支架、缆风绳、泵送混凝土和砂浆输送管、卸料平台等固定在架体上。</w:t>
      </w:r>
    </w:p>
    <w:p>
      <w:pPr>
        <w:spacing w:line="400" w:lineRule="exact"/>
        <w:rPr>
          <w:rFonts w:ascii="宋体" w:hAnsi="宋体" w:cs="宋体"/>
          <w:bCs/>
          <w:szCs w:val="21"/>
        </w:rPr>
      </w:pPr>
      <w:r>
        <w:rPr>
          <w:rFonts w:hint="eastAsia"/>
          <w:b/>
          <w:szCs w:val="21"/>
        </w:rPr>
        <w:t>4.3</w:t>
      </w:r>
      <w:r>
        <w:rPr>
          <w:b/>
          <w:szCs w:val="21"/>
        </w:rPr>
        <w:t>.4</w:t>
      </w:r>
      <w:r>
        <w:rPr>
          <w:rFonts w:hint="eastAsia" w:ascii="宋体" w:hAnsi="宋体" w:cs="宋体"/>
          <w:bCs/>
          <w:szCs w:val="21"/>
        </w:rPr>
        <w:t xml:space="preserve">  脚手架拆除时，整层或数层</w:t>
      </w:r>
      <w:r>
        <w:rPr>
          <w:rFonts w:hint="eastAsia" w:ascii="宋体" w:hAnsi="宋体" w:cs="宋体"/>
          <w:bCs/>
          <w:szCs w:val="21"/>
          <w:lang w:val="en-US" w:eastAsia="zh-CN"/>
        </w:rPr>
        <w:t>同时</w:t>
      </w:r>
      <w:r>
        <w:rPr>
          <w:rFonts w:hint="eastAsia" w:ascii="宋体" w:hAnsi="宋体" w:cs="宋体"/>
          <w:bCs/>
          <w:szCs w:val="21"/>
        </w:rPr>
        <w:t>拆除连墙件。</w:t>
      </w:r>
    </w:p>
    <w:p>
      <w:pPr>
        <w:spacing w:line="400" w:lineRule="exact"/>
        <w:rPr>
          <w:rFonts w:ascii="宋体" w:hAnsi="宋体" w:cs="宋体"/>
          <w:bCs/>
          <w:szCs w:val="21"/>
        </w:rPr>
      </w:pPr>
      <w:r>
        <w:rPr>
          <w:rFonts w:hint="eastAsia"/>
          <w:b/>
          <w:szCs w:val="21"/>
        </w:rPr>
        <w:t>4.3</w:t>
      </w:r>
      <w:r>
        <w:rPr>
          <w:b/>
          <w:szCs w:val="21"/>
        </w:rPr>
        <w:t>.5</w:t>
      </w:r>
      <w:r>
        <w:rPr>
          <w:rFonts w:hint="eastAsia" w:ascii="宋体" w:hAnsi="宋体" w:cs="宋体"/>
          <w:bCs/>
          <w:szCs w:val="21"/>
        </w:rPr>
        <w:t xml:space="preserve">  附着式升降脚手架未经检测检验、未办理使用登记备案即投入使用。</w:t>
      </w:r>
    </w:p>
    <w:p>
      <w:pPr>
        <w:spacing w:line="400" w:lineRule="exact"/>
        <w:rPr>
          <w:rFonts w:ascii="宋体" w:hAnsi="宋体" w:cs="宋体"/>
          <w:bCs/>
          <w:szCs w:val="21"/>
        </w:rPr>
      </w:pPr>
      <w:r>
        <w:rPr>
          <w:rFonts w:hint="eastAsia"/>
          <w:b/>
          <w:szCs w:val="21"/>
        </w:rPr>
        <w:t>4.3</w:t>
      </w:r>
      <w:r>
        <w:rPr>
          <w:b/>
          <w:szCs w:val="21"/>
        </w:rPr>
        <w:t>.6</w:t>
      </w:r>
      <w:r>
        <w:rPr>
          <w:rFonts w:hint="eastAsia"/>
          <w:b/>
          <w:szCs w:val="21"/>
        </w:rPr>
        <w:t xml:space="preserve">  </w:t>
      </w:r>
      <w:r>
        <w:rPr>
          <w:rFonts w:hint="eastAsia" w:ascii="宋体" w:hAnsi="宋体" w:cs="宋体"/>
          <w:bCs/>
          <w:szCs w:val="21"/>
        </w:rPr>
        <w:t>附着式升降脚手架、爬模架附着支承结构数量、构造、附着处混凝土强度等不满足设计要求。</w:t>
      </w:r>
    </w:p>
    <w:p>
      <w:pPr>
        <w:spacing w:line="400" w:lineRule="exact"/>
        <w:rPr>
          <w:rFonts w:ascii="宋体" w:hAnsi="宋体" w:cs="宋体"/>
          <w:bCs/>
          <w:szCs w:val="21"/>
        </w:rPr>
      </w:pPr>
      <w:r>
        <w:rPr>
          <w:rFonts w:hint="eastAsia"/>
          <w:b/>
          <w:szCs w:val="21"/>
        </w:rPr>
        <w:t>4.3</w:t>
      </w:r>
      <w:r>
        <w:rPr>
          <w:b/>
          <w:szCs w:val="21"/>
        </w:rPr>
        <w:t>.7</w:t>
      </w:r>
      <w:r>
        <w:rPr>
          <w:rFonts w:hint="eastAsia" w:ascii="宋体" w:hAnsi="宋体" w:cs="宋体"/>
          <w:bCs/>
          <w:szCs w:val="21"/>
        </w:rPr>
        <w:t xml:space="preserve">  附着式升降脚手架、爬模架防倾覆、防坠落或同步升降控制装置不符合设计要求。 </w:t>
      </w:r>
    </w:p>
    <w:p>
      <w:pPr>
        <w:spacing w:line="400" w:lineRule="exact"/>
        <w:rPr>
          <w:rFonts w:ascii="宋体" w:hAnsi="宋体" w:cs="宋体"/>
          <w:bCs/>
          <w:szCs w:val="21"/>
        </w:rPr>
      </w:pPr>
      <w:r>
        <w:rPr>
          <w:rFonts w:hint="eastAsia"/>
          <w:b/>
          <w:szCs w:val="21"/>
        </w:rPr>
        <w:t>4.3</w:t>
      </w:r>
      <w:r>
        <w:rPr>
          <w:b/>
          <w:szCs w:val="21"/>
        </w:rPr>
        <w:t>.8</w:t>
      </w:r>
      <w:r>
        <w:rPr>
          <w:rFonts w:hint="eastAsia" w:ascii="宋体" w:hAnsi="宋体" w:cs="宋体"/>
          <w:bCs/>
          <w:szCs w:val="21"/>
        </w:rPr>
        <w:t xml:space="preserve">  附着式升降脚手架架体悬臂高度大于架体高度的</w:t>
      </w:r>
      <w:r>
        <w:rPr>
          <w:bCs/>
          <w:szCs w:val="21"/>
        </w:rPr>
        <w:t>2/5</w:t>
      </w:r>
      <w:r>
        <w:rPr>
          <w:rFonts w:hint="eastAsia" w:ascii="宋体" w:hAnsi="宋体" w:cs="宋体"/>
          <w:bCs/>
          <w:szCs w:val="21"/>
        </w:rPr>
        <w:t>，或大于</w:t>
      </w:r>
      <w:r>
        <w:rPr>
          <w:bCs/>
          <w:szCs w:val="21"/>
        </w:rPr>
        <w:t>6</w:t>
      </w:r>
      <w:r>
        <w:rPr>
          <w:rFonts w:hint="eastAsia" w:ascii="宋体" w:hAnsi="宋体" w:cs="宋体"/>
          <w:bCs/>
          <w:szCs w:val="21"/>
          <w:lang w:eastAsia="zh-CN"/>
        </w:rPr>
        <w:t>m</w:t>
      </w:r>
      <w:r>
        <w:rPr>
          <w:rFonts w:hint="eastAsia" w:ascii="宋体" w:hAnsi="宋体" w:cs="宋体"/>
          <w:bCs/>
          <w:szCs w:val="21"/>
        </w:rPr>
        <w:t>。</w:t>
      </w:r>
    </w:p>
    <w:p>
      <w:pPr>
        <w:spacing w:line="400" w:lineRule="exact"/>
        <w:rPr>
          <w:rFonts w:ascii="宋体" w:hAnsi="宋体" w:cs="宋体"/>
          <w:bCs/>
          <w:szCs w:val="21"/>
        </w:rPr>
      </w:pPr>
      <w:r>
        <w:rPr>
          <w:rFonts w:hint="eastAsia"/>
          <w:b/>
          <w:szCs w:val="21"/>
        </w:rPr>
        <w:t>4.3</w:t>
      </w:r>
      <w:r>
        <w:rPr>
          <w:b/>
          <w:szCs w:val="21"/>
        </w:rPr>
        <w:t>.9</w:t>
      </w:r>
      <w:r>
        <w:rPr>
          <w:rFonts w:hint="eastAsia" w:ascii="宋体" w:hAnsi="宋体" w:cs="宋体"/>
          <w:bCs/>
          <w:szCs w:val="21"/>
        </w:rPr>
        <w:t xml:space="preserve">  高处作业吊篮使用达到报废标准的钢丝绳。</w:t>
      </w:r>
    </w:p>
    <w:p>
      <w:pPr>
        <w:spacing w:line="400" w:lineRule="exact"/>
        <w:rPr>
          <w:rFonts w:ascii="宋体" w:hAnsi="宋体" w:cs="宋体"/>
          <w:bCs/>
          <w:szCs w:val="21"/>
        </w:rPr>
      </w:pPr>
      <w:r>
        <w:rPr>
          <w:rFonts w:hint="eastAsia"/>
          <w:b/>
          <w:szCs w:val="21"/>
        </w:rPr>
        <w:t>4.3</w:t>
      </w:r>
      <w:r>
        <w:rPr>
          <w:b/>
          <w:szCs w:val="21"/>
        </w:rPr>
        <w:t>.10</w:t>
      </w:r>
      <w:r>
        <w:rPr>
          <w:rFonts w:hint="eastAsia" w:ascii="宋体" w:hAnsi="宋体" w:cs="宋体"/>
          <w:bCs/>
          <w:szCs w:val="21"/>
        </w:rPr>
        <w:t xml:space="preserve"> 高处作业吊篮悬挂机构、配重、额定荷载经计算不满足抗倾覆安全系数</w:t>
      </w:r>
      <w:r>
        <w:rPr>
          <w:bCs/>
          <w:szCs w:val="21"/>
        </w:rPr>
        <w:t>≥</w:t>
      </w:r>
      <w:r>
        <w:rPr>
          <w:rFonts w:hint="eastAsia" w:ascii="宋体" w:hAnsi="宋体" w:cs="宋体"/>
          <w:bCs/>
          <w:szCs w:val="21"/>
        </w:rPr>
        <w:t>2的要求。</w:t>
      </w:r>
    </w:p>
    <w:p>
      <w:pPr>
        <w:spacing w:line="400" w:lineRule="exact"/>
        <w:rPr>
          <w:rFonts w:ascii="宋体" w:hAnsi="宋体" w:cs="宋体"/>
          <w:bCs/>
          <w:szCs w:val="21"/>
        </w:rPr>
      </w:pPr>
      <w:r>
        <w:rPr>
          <w:rFonts w:hint="eastAsia"/>
          <w:b/>
          <w:szCs w:val="21"/>
        </w:rPr>
        <w:t>4.3</w:t>
      </w:r>
      <w:r>
        <w:rPr>
          <w:b/>
          <w:szCs w:val="21"/>
        </w:rPr>
        <w:t>.11</w:t>
      </w:r>
      <w:r>
        <w:rPr>
          <w:rFonts w:hint="eastAsia" w:ascii="宋体" w:hAnsi="宋体" w:cs="宋体"/>
          <w:bCs/>
          <w:szCs w:val="21"/>
        </w:rPr>
        <w:t xml:space="preserve"> 高处作业吊篮安全锁失效、安全绳未独立悬挂。</w:t>
      </w:r>
    </w:p>
    <w:p>
      <w:pPr>
        <w:spacing w:line="400" w:lineRule="exact"/>
        <w:rPr>
          <w:rFonts w:ascii="宋体" w:hAnsi="宋体" w:cs="宋体"/>
          <w:bCs/>
          <w:szCs w:val="21"/>
        </w:rPr>
      </w:pPr>
      <w:r>
        <w:rPr>
          <w:rFonts w:hint="eastAsia"/>
          <w:b/>
          <w:szCs w:val="21"/>
        </w:rPr>
        <w:t>4.3</w:t>
      </w:r>
      <w:r>
        <w:rPr>
          <w:b/>
          <w:szCs w:val="21"/>
        </w:rPr>
        <w:t>.12</w:t>
      </w:r>
      <w:r>
        <w:rPr>
          <w:rFonts w:hint="eastAsia" w:ascii="宋体" w:hAnsi="宋体" w:cs="宋体"/>
          <w:bCs/>
          <w:szCs w:val="21"/>
        </w:rPr>
        <w:t xml:space="preserve"> 高处作业吊篮超载使用或吊篮内作业人员数量超过2人。</w:t>
      </w:r>
    </w:p>
    <w:p>
      <w:pPr>
        <w:pStyle w:val="3"/>
        <w:tabs>
          <w:tab w:val="left" w:pos="992"/>
        </w:tabs>
        <w:spacing w:before="340" w:after="100" w:afterAutospacing="1" w:line="400" w:lineRule="exact"/>
        <w:rPr>
          <w:rFonts w:ascii="黑体" w:hAnsi="黑体" w:cs="黑体"/>
          <w:kern w:val="44"/>
          <w:szCs w:val="24"/>
        </w:rPr>
      </w:pPr>
      <w:bookmarkStart w:id="15" w:name="_Toc29257"/>
      <w:r>
        <w:rPr>
          <w:rFonts w:ascii="Times New Roman" w:hAnsi="Times New Roman"/>
          <w:kern w:val="44"/>
          <w:szCs w:val="24"/>
        </w:rPr>
        <w:t>4.4</w:t>
      </w:r>
      <w:r>
        <w:rPr>
          <w:rFonts w:hint="eastAsia" w:ascii="黑体" w:hAnsi="黑体" w:cs="黑体"/>
          <w:kern w:val="44"/>
          <w:szCs w:val="24"/>
        </w:rPr>
        <w:t xml:space="preserve">  高处作业</w:t>
      </w:r>
      <w:bookmarkEnd w:id="15"/>
    </w:p>
    <w:p>
      <w:pPr>
        <w:spacing w:line="400" w:lineRule="exact"/>
        <w:rPr>
          <w:bCs/>
          <w:szCs w:val="21"/>
        </w:rPr>
      </w:pPr>
      <w:r>
        <w:rPr>
          <w:rFonts w:hint="eastAsia"/>
          <w:b/>
          <w:szCs w:val="21"/>
        </w:rPr>
        <w:t xml:space="preserve">4.4.1  </w:t>
      </w:r>
      <w:r>
        <w:rPr>
          <w:rFonts w:hint="eastAsia"/>
          <w:bCs/>
          <w:szCs w:val="21"/>
        </w:rPr>
        <w:t>高处临边作业，临空一侧未设置防护设施且作业人员未正确配带安全带。</w:t>
      </w:r>
    </w:p>
    <w:p>
      <w:pPr>
        <w:spacing w:line="400" w:lineRule="exact"/>
        <w:rPr>
          <w:b/>
          <w:szCs w:val="21"/>
        </w:rPr>
      </w:pPr>
      <w:r>
        <w:rPr>
          <w:rFonts w:hint="eastAsia"/>
          <w:b/>
          <w:szCs w:val="21"/>
        </w:rPr>
        <w:t xml:space="preserve">4.4.2  </w:t>
      </w:r>
      <w:r>
        <w:rPr>
          <w:rFonts w:hint="eastAsia" w:ascii="宋体" w:hAnsi="宋体" w:cs="宋体"/>
          <w:bCs/>
          <w:szCs w:val="21"/>
        </w:rPr>
        <w:t>洞口短边边长大于或等于</w:t>
      </w:r>
      <w:r>
        <w:rPr>
          <w:bCs/>
          <w:szCs w:val="21"/>
        </w:rPr>
        <w:t>500</w:t>
      </w:r>
      <w:r>
        <w:rPr>
          <w:rFonts w:hint="eastAsia"/>
          <w:bCs/>
          <w:szCs w:val="21"/>
          <w:lang w:eastAsia="zh-CN"/>
        </w:rPr>
        <w:t>mm</w:t>
      </w:r>
      <w:r>
        <w:rPr>
          <w:rFonts w:hint="eastAsia" w:ascii="宋体" w:hAnsi="宋体" w:cs="宋体"/>
          <w:bCs/>
          <w:szCs w:val="21"/>
        </w:rPr>
        <w:t>时，未采取有效防护措施。</w:t>
      </w:r>
    </w:p>
    <w:p>
      <w:pPr>
        <w:spacing w:line="400" w:lineRule="exact"/>
        <w:rPr>
          <w:bCs/>
          <w:szCs w:val="21"/>
        </w:rPr>
      </w:pPr>
      <w:r>
        <w:rPr>
          <w:rFonts w:hint="eastAsia"/>
          <w:b/>
          <w:szCs w:val="21"/>
        </w:rPr>
        <w:t xml:space="preserve">4.4.3  </w:t>
      </w:r>
      <w:r>
        <w:rPr>
          <w:rFonts w:hint="eastAsia"/>
          <w:bCs/>
          <w:szCs w:val="21"/>
        </w:rPr>
        <w:t>电梯井道内未按照规范要求设置安全平网，施工层上部未设置隔离防护设施。</w:t>
      </w:r>
    </w:p>
    <w:p>
      <w:pPr>
        <w:spacing w:line="400" w:lineRule="exact"/>
        <w:rPr>
          <w:b/>
          <w:szCs w:val="21"/>
        </w:rPr>
      </w:pPr>
      <w:r>
        <w:rPr>
          <w:rFonts w:hint="eastAsia"/>
          <w:b/>
          <w:szCs w:val="21"/>
        </w:rPr>
        <w:t>4.</w:t>
      </w:r>
      <w:r>
        <w:rPr>
          <w:b/>
          <w:szCs w:val="21"/>
        </w:rPr>
        <w:t>4</w:t>
      </w:r>
      <w:r>
        <w:rPr>
          <w:rFonts w:hint="eastAsia"/>
          <w:b/>
          <w:szCs w:val="21"/>
        </w:rPr>
        <w:t xml:space="preserve">.4  </w:t>
      </w:r>
      <w:r>
        <w:rPr>
          <w:rFonts w:hint="eastAsia"/>
          <w:bCs/>
          <w:szCs w:val="21"/>
        </w:rPr>
        <w:t>水平防护时，使用密目式安全立网代替平网。</w:t>
      </w:r>
    </w:p>
    <w:p>
      <w:pPr>
        <w:spacing w:line="400" w:lineRule="exact"/>
        <w:rPr>
          <w:rFonts w:hint="eastAsia" w:eastAsia="宋体"/>
          <w:bCs/>
          <w:szCs w:val="21"/>
          <w:lang w:val="en-US" w:eastAsia="zh-CN"/>
        </w:rPr>
      </w:pPr>
      <w:r>
        <w:rPr>
          <w:rFonts w:hint="eastAsia"/>
          <w:b/>
          <w:szCs w:val="21"/>
        </w:rPr>
        <w:t xml:space="preserve">4.4.5  </w:t>
      </w:r>
      <w:r>
        <w:rPr>
          <w:rFonts w:hint="eastAsia"/>
          <w:bCs/>
          <w:szCs w:val="21"/>
        </w:rPr>
        <w:t>钢结构安装过程中，当利用钢梁作为水平通道时，未设置安全绳等防护设施。</w:t>
      </w:r>
    </w:p>
    <w:p>
      <w:pPr>
        <w:spacing w:line="400" w:lineRule="exact"/>
        <w:rPr>
          <w:b/>
          <w:szCs w:val="21"/>
        </w:rPr>
      </w:pPr>
      <w:r>
        <w:rPr>
          <w:rFonts w:hint="eastAsia"/>
          <w:b/>
          <w:szCs w:val="21"/>
        </w:rPr>
        <w:t>4.</w:t>
      </w:r>
      <w:r>
        <w:rPr>
          <w:b/>
          <w:szCs w:val="21"/>
        </w:rPr>
        <w:t>4</w:t>
      </w:r>
      <w:r>
        <w:rPr>
          <w:rFonts w:hint="eastAsia"/>
          <w:b/>
          <w:szCs w:val="21"/>
        </w:rPr>
        <w:t>.</w:t>
      </w:r>
      <w:r>
        <w:rPr>
          <w:b/>
          <w:szCs w:val="21"/>
        </w:rPr>
        <w:t>6</w:t>
      </w:r>
      <w:r>
        <w:rPr>
          <w:rFonts w:hint="eastAsia"/>
          <w:b/>
          <w:szCs w:val="21"/>
        </w:rPr>
        <w:t xml:space="preserve">  </w:t>
      </w:r>
      <w:r>
        <w:rPr>
          <w:rFonts w:hint="eastAsia"/>
          <w:bCs/>
          <w:szCs w:val="21"/>
        </w:rPr>
        <w:t>落地式操作平台未与建筑物进行刚性连接或未设防倾覆措施。</w:t>
      </w:r>
    </w:p>
    <w:p>
      <w:pPr>
        <w:spacing w:line="400" w:lineRule="exact"/>
        <w:rPr>
          <w:rFonts w:ascii="宋体" w:hAnsi="宋体" w:cs="宋体"/>
          <w:bCs/>
          <w:szCs w:val="21"/>
        </w:rPr>
      </w:pPr>
      <w:r>
        <w:rPr>
          <w:rFonts w:hint="eastAsia"/>
          <w:b/>
          <w:szCs w:val="21"/>
        </w:rPr>
        <w:t>4.</w:t>
      </w:r>
      <w:r>
        <w:rPr>
          <w:b/>
          <w:szCs w:val="21"/>
        </w:rPr>
        <w:t>4</w:t>
      </w:r>
      <w:r>
        <w:rPr>
          <w:rFonts w:hint="eastAsia"/>
          <w:b/>
          <w:szCs w:val="21"/>
        </w:rPr>
        <w:t>.</w:t>
      </w:r>
      <w:r>
        <w:rPr>
          <w:b/>
          <w:szCs w:val="21"/>
        </w:rPr>
        <w:t>7</w:t>
      </w:r>
      <w:r>
        <w:rPr>
          <w:rFonts w:hint="eastAsia"/>
          <w:b/>
          <w:szCs w:val="21"/>
        </w:rPr>
        <w:t xml:space="preserve">  </w:t>
      </w:r>
      <w:r>
        <w:rPr>
          <w:rFonts w:hint="eastAsia" w:ascii="宋体" w:hAnsi="宋体" w:cs="宋体"/>
          <w:bCs/>
          <w:szCs w:val="21"/>
        </w:rPr>
        <w:t>悬挑式操作平台的搁置点、拉结点、支撑点未设置在稳定的主体结构上,且未做可靠连接。</w:t>
      </w:r>
    </w:p>
    <w:p>
      <w:pPr>
        <w:spacing w:line="400" w:lineRule="exact"/>
        <w:rPr>
          <w:rFonts w:hint="eastAsia"/>
          <w:bCs/>
          <w:szCs w:val="21"/>
        </w:rPr>
      </w:pPr>
      <w:r>
        <w:rPr>
          <w:rFonts w:hint="eastAsia"/>
          <w:b/>
          <w:szCs w:val="21"/>
        </w:rPr>
        <w:t xml:space="preserve">4.4.8 </w:t>
      </w:r>
      <w:r>
        <w:rPr>
          <w:rFonts w:hint="eastAsia"/>
          <w:bCs/>
          <w:szCs w:val="21"/>
        </w:rPr>
        <w:t xml:space="preserve"> 移动式操作平台行走轮和导向轮无制动器和刹车轮等制动措施或在非移动情况下未保持制动状态。</w:t>
      </w:r>
    </w:p>
    <w:p>
      <w:pPr>
        <w:spacing w:line="400" w:lineRule="exact"/>
        <w:rPr>
          <w:rFonts w:hint="eastAsia"/>
          <w:bCs/>
          <w:szCs w:val="21"/>
        </w:rPr>
      </w:pPr>
      <w:r>
        <w:rPr>
          <w:rFonts w:hint="eastAsia"/>
          <w:b/>
          <w:szCs w:val="21"/>
          <w:lang w:val="en-US" w:eastAsia="zh-CN"/>
        </w:rPr>
        <w:t>4.4.9</w:t>
      </w:r>
      <w:r>
        <w:rPr>
          <w:rFonts w:hint="eastAsia"/>
          <w:b/>
          <w:szCs w:val="21"/>
        </w:rPr>
        <w:t> </w:t>
      </w:r>
      <w:r>
        <w:rPr>
          <w:rFonts w:hint="eastAsia"/>
          <w:bCs/>
          <w:color w:val="FF0000"/>
          <w:szCs w:val="21"/>
        </w:rPr>
        <w:t xml:space="preserve"> </w:t>
      </w:r>
      <w:r>
        <w:rPr>
          <w:rFonts w:hint="eastAsia"/>
          <w:bCs/>
          <w:szCs w:val="21"/>
        </w:rPr>
        <w:t>钢结构、网架安装用支撑平台基础承载力不满足设计要求。</w:t>
      </w:r>
    </w:p>
    <w:p>
      <w:pPr>
        <w:spacing w:line="400" w:lineRule="exact"/>
        <w:rPr>
          <w:rFonts w:hint="eastAsia"/>
          <w:bCs/>
          <w:szCs w:val="21"/>
        </w:rPr>
      </w:pPr>
      <w:r>
        <w:rPr>
          <w:rFonts w:hint="eastAsia"/>
          <w:b/>
          <w:szCs w:val="21"/>
          <w:lang w:val="en-US" w:eastAsia="zh-CN"/>
        </w:rPr>
        <w:t xml:space="preserve">4.4.10 </w:t>
      </w:r>
      <w:r>
        <w:rPr>
          <w:rFonts w:hint="eastAsia"/>
          <w:bCs/>
          <w:szCs w:val="21"/>
        </w:rPr>
        <w:t>钢结构、网架安装支撑平台未搭设同步防风、防倾覆措施。</w:t>
      </w:r>
    </w:p>
    <w:p>
      <w:pPr>
        <w:spacing w:line="400" w:lineRule="exact"/>
        <w:rPr>
          <w:rFonts w:hint="eastAsia"/>
          <w:bCs/>
          <w:szCs w:val="21"/>
          <w:lang w:val="en-US" w:eastAsia="zh-CN"/>
        </w:rPr>
      </w:pPr>
      <w:r>
        <w:rPr>
          <w:rFonts w:hint="eastAsia"/>
          <w:b/>
          <w:szCs w:val="21"/>
          <w:lang w:val="en-US" w:eastAsia="zh-CN"/>
        </w:rPr>
        <w:t>4.4.11</w:t>
      </w:r>
      <w:r>
        <w:rPr>
          <w:rFonts w:hint="eastAsia"/>
          <w:bCs/>
          <w:color w:val="FF0000"/>
          <w:szCs w:val="21"/>
          <w:lang w:val="en-US" w:eastAsia="zh-CN"/>
        </w:rPr>
        <w:t xml:space="preserve"> </w:t>
      </w:r>
      <w:r>
        <w:rPr>
          <w:rFonts w:hint="eastAsia"/>
          <w:bCs/>
          <w:szCs w:val="21"/>
          <w:lang w:val="en-US" w:eastAsia="zh-CN"/>
        </w:rPr>
        <w:t>卸料平台荷载超载、物料码放超高；悬挑式卸料平台钢梁、钢丝绳未与主体结构形成可靠连接。</w:t>
      </w:r>
    </w:p>
    <w:p>
      <w:pPr>
        <w:spacing w:line="400" w:lineRule="exact"/>
        <w:rPr>
          <w:rFonts w:hint="eastAsia"/>
          <w:bCs/>
          <w:szCs w:val="21"/>
        </w:rPr>
      </w:pPr>
    </w:p>
    <w:p>
      <w:pPr>
        <w:pStyle w:val="3"/>
        <w:tabs>
          <w:tab w:val="left" w:pos="992"/>
        </w:tabs>
        <w:spacing w:before="340" w:after="100" w:afterAutospacing="1" w:line="400" w:lineRule="exact"/>
        <w:rPr>
          <w:rFonts w:ascii="黑体" w:hAnsi="黑体" w:cs="黑体"/>
          <w:kern w:val="44"/>
          <w:szCs w:val="24"/>
        </w:rPr>
      </w:pPr>
      <w:bookmarkStart w:id="16" w:name="_Toc24777"/>
      <w:r>
        <w:rPr>
          <w:rFonts w:ascii="Times New Roman" w:hAnsi="Times New Roman"/>
          <w:kern w:val="44"/>
          <w:szCs w:val="24"/>
        </w:rPr>
        <w:t>4.5</w:t>
      </w:r>
      <w:r>
        <w:rPr>
          <w:rFonts w:hint="eastAsia" w:ascii="黑体" w:hAnsi="黑体" w:cs="黑体"/>
          <w:kern w:val="44"/>
          <w:szCs w:val="24"/>
        </w:rPr>
        <w:t xml:space="preserve">  施工机具</w:t>
      </w:r>
      <w:bookmarkEnd w:id="16"/>
    </w:p>
    <w:p>
      <w:pPr>
        <w:spacing w:line="400" w:lineRule="exact"/>
        <w:rPr>
          <w:bCs/>
          <w:szCs w:val="21"/>
        </w:rPr>
      </w:pPr>
      <w:r>
        <w:rPr>
          <w:rFonts w:hint="eastAsia"/>
          <w:b/>
          <w:szCs w:val="21"/>
        </w:rPr>
        <w:t xml:space="preserve">4.5.1 </w:t>
      </w:r>
      <w:r>
        <w:rPr>
          <w:rFonts w:hint="eastAsia"/>
          <w:bCs/>
          <w:szCs w:val="21"/>
        </w:rPr>
        <w:t xml:space="preserve"> 桩机作业时，现场场地平整度、基础承载力和垂直度不满足说明书要求。</w:t>
      </w:r>
    </w:p>
    <w:p>
      <w:pPr>
        <w:spacing w:line="400" w:lineRule="exact"/>
        <w:rPr>
          <w:b/>
          <w:szCs w:val="21"/>
        </w:rPr>
      </w:pPr>
      <w:r>
        <w:rPr>
          <w:rFonts w:hint="eastAsia"/>
          <w:b/>
          <w:szCs w:val="21"/>
        </w:rPr>
        <w:t xml:space="preserve">4.5.2 </w:t>
      </w:r>
      <w:r>
        <w:rPr>
          <w:rFonts w:hint="eastAsia"/>
          <w:bCs/>
          <w:szCs w:val="21"/>
        </w:rPr>
        <w:t xml:space="preserve"> 使用混凝土输送泵车时，场地平整度、基础承载力和支腿伸出长度不满足说明书的要求。</w:t>
      </w:r>
    </w:p>
    <w:p>
      <w:pPr>
        <w:spacing w:line="400" w:lineRule="exact"/>
        <w:rPr>
          <w:b/>
          <w:szCs w:val="21"/>
        </w:rPr>
      </w:pPr>
      <w:r>
        <w:rPr>
          <w:rFonts w:hint="eastAsia"/>
          <w:b/>
          <w:szCs w:val="21"/>
        </w:rPr>
        <w:t xml:space="preserve">4.5.3  </w:t>
      </w:r>
      <w:r>
        <w:rPr>
          <w:rFonts w:hint="eastAsia"/>
          <w:bCs/>
          <w:szCs w:val="21"/>
        </w:rPr>
        <w:t>使用混凝土输送泵车布料杆起吊和拖拉物件，接长布料杆配管超出说明书规定的范围。</w:t>
      </w:r>
    </w:p>
    <w:p>
      <w:pPr>
        <w:spacing w:line="400" w:lineRule="exact"/>
        <w:rPr>
          <w:b/>
          <w:szCs w:val="21"/>
        </w:rPr>
      </w:pPr>
      <w:r>
        <w:rPr>
          <w:rFonts w:hint="eastAsia"/>
          <w:b/>
          <w:szCs w:val="21"/>
        </w:rPr>
        <w:t xml:space="preserve">4.5.4  </w:t>
      </w:r>
      <w:r>
        <w:rPr>
          <w:rFonts w:hint="eastAsia" w:ascii="宋体" w:hAnsi="宋体" w:cs="宋体"/>
          <w:bCs/>
          <w:szCs w:val="21"/>
        </w:rPr>
        <w:t>混凝土布料机机体中心位置与施工作业面临边距离小于机体结构总高度的1.5倍，且没有防倾覆措施。</w:t>
      </w:r>
    </w:p>
    <w:p>
      <w:pPr>
        <w:pStyle w:val="3"/>
        <w:tabs>
          <w:tab w:val="left" w:pos="992"/>
        </w:tabs>
        <w:spacing w:before="340" w:after="100" w:afterAutospacing="1" w:line="400" w:lineRule="exact"/>
        <w:rPr>
          <w:rFonts w:ascii="黑体" w:hAnsi="黑体" w:cs="黑体"/>
          <w:kern w:val="44"/>
          <w:szCs w:val="24"/>
        </w:rPr>
      </w:pPr>
      <w:bookmarkStart w:id="17" w:name="_Toc20621"/>
      <w:r>
        <w:rPr>
          <w:rFonts w:ascii="Times New Roman" w:hAnsi="Times New Roman"/>
          <w:kern w:val="44"/>
          <w:szCs w:val="24"/>
        </w:rPr>
        <w:t>4.6</w:t>
      </w:r>
      <w:r>
        <w:rPr>
          <w:rFonts w:hint="eastAsia" w:ascii="黑体" w:hAnsi="黑体" w:cs="黑体"/>
          <w:kern w:val="44"/>
          <w:szCs w:val="24"/>
        </w:rPr>
        <w:t xml:space="preserve">  临时用电</w:t>
      </w:r>
      <w:bookmarkEnd w:id="17"/>
    </w:p>
    <w:p>
      <w:pPr>
        <w:spacing w:line="400" w:lineRule="exact"/>
        <w:rPr>
          <w:bCs/>
          <w:szCs w:val="21"/>
        </w:rPr>
      </w:pPr>
      <w:r>
        <w:rPr>
          <w:rFonts w:hint="eastAsia"/>
          <w:b/>
          <w:szCs w:val="21"/>
        </w:rPr>
        <w:t xml:space="preserve">4.6.1  </w:t>
      </w:r>
      <w:r>
        <w:rPr>
          <w:rFonts w:hint="eastAsia"/>
          <w:bCs/>
          <w:szCs w:val="21"/>
        </w:rPr>
        <w:t>外电线路与在建工程及脚手架、机械设备、场内机动车道之间的安全距离不符合规范要求且未采取防护措施。</w:t>
      </w:r>
    </w:p>
    <w:p>
      <w:pPr>
        <w:spacing w:line="400" w:lineRule="exact"/>
        <w:rPr>
          <w:b/>
          <w:szCs w:val="21"/>
        </w:rPr>
      </w:pPr>
      <w:r>
        <w:rPr>
          <w:rFonts w:hint="eastAsia"/>
          <w:b/>
          <w:szCs w:val="21"/>
        </w:rPr>
        <w:t xml:space="preserve">4.6.2  </w:t>
      </w:r>
      <w:r>
        <w:rPr>
          <w:rFonts w:hint="eastAsia" w:ascii="宋体" w:hAnsi="宋体" w:cs="宋体"/>
          <w:bCs/>
          <w:szCs w:val="21"/>
        </w:rPr>
        <w:t>配电系统未采用三级配电逐级漏电保护系统，未采用</w:t>
      </w:r>
      <w:r>
        <w:rPr>
          <w:bCs/>
          <w:szCs w:val="21"/>
        </w:rPr>
        <w:t>TN-S</w:t>
      </w:r>
      <w:r>
        <w:rPr>
          <w:rFonts w:hint="eastAsia" w:ascii="宋体" w:hAnsi="宋体" w:cs="宋体"/>
          <w:bCs/>
          <w:szCs w:val="21"/>
        </w:rPr>
        <w:t>接零保护系统，配电箱与开关箱漏电保护器参数不匹配。</w:t>
      </w:r>
    </w:p>
    <w:p>
      <w:pPr>
        <w:spacing w:line="400" w:lineRule="exact"/>
        <w:rPr>
          <w:b/>
          <w:szCs w:val="21"/>
        </w:rPr>
      </w:pPr>
      <w:r>
        <w:rPr>
          <w:rFonts w:hint="eastAsia"/>
          <w:b/>
          <w:szCs w:val="21"/>
        </w:rPr>
        <w:t xml:space="preserve">4.6.3  </w:t>
      </w:r>
      <w:r>
        <w:rPr>
          <w:rFonts w:hint="eastAsia"/>
          <w:bCs/>
          <w:szCs w:val="21"/>
        </w:rPr>
        <w:t>配电系统或电气设备调试、试运行时，未按操作规程和程序进行，未统一指挥、专人监护。</w:t>
      </w:r>
    </w:p>
    <w:p>
      <w:pPr>
        <w:spacing w:line="400" w:lineRule="exact"/>
        <w:rPr>
          <w:b/>
          <w:szCs w:val="21"/>
        </w:rPr>
      </w:pPr>
      <w:r>
        <w:rPr>
          <w:rFonts w:hint="eastAsia"/>
          <w:b/>
          <w:szCs w:val="21"/>
        </w:rPr>
        <w:t xml:space="preserve">4.6.4  </w:t>
      </w:r>
      <w:r>
        <w:rPr>
          <w:rFonts w:hint="eastAsia"/>
          <w:bCs/>
          <w:szCs w:val="21"/>
        </w:rPr>
        <w:t>特殊场所（隧道、人防工程、高温、有导电灰尘、比较潮湿等）照明未按规定使用安全电压。</w:t>
      </w:r>
    </w:p>
    <w:p>
      <w:pPr>
        <w:pStyle w:val="3"/>
        <w:tabs>
          <w:tab w:val="left" w:pos="992"/>
        </w:tabs>
        <w:spacing w:before="340" w:after="100" w:afterAutospacing="1" w:line="400" w:lineRule="exact"/>
        <w:rPr>
          <w:rFonts w:ascii="黑体" w:hAnsi="黑体" w:cs="黑体"/>
          <w:kern w:val="44"/>
          <w:szCs w:val="24"/>
        </w:rPr>
      </w:pPr>
      <w:bookmarkStart w:id="18" w:name="_Toc3688"/>
      <w:r>
        <w:rPr>
          <w:rFonts w:ascii="Times New Roman" w:hAnsi="Times New Roman"/>
          <w:kern w:val="44"/>
          <w:szCs w:val="24"/>
        </w:rPr>
        <w:t>4.7</w:t>
      </w:r>
      <w:r>
        <w:rPr>
          <w:rFonts w:hint="eastAsia" w:ascii="黑体" w:hAnsi="黑体" w:cs="黑体"/>
          <w:kern w:val="44"/>
          <w:szCs w:val="24"/>
        </w:rPr>
        <w:t xml:space="preserve">  起重机械及起重吊装</w:t>
      </w:r>
      <w:bookmarkEnd w:id="18"/>
    </w:p>
    <w:p>
      <w:pPr>
        <w:spacing w:line="400" w:lineRule="exact"/>
        <w:rPr>
          <w:b/>
          <w:szCs w:val="21"/>
        </w:rPr>
      </w:pPr>
      <w:r>
        <w:rPr>
          <w:rFonts w:hint="eastAsia"/>
          <w:b/>
          <w:szCs w:val="21"/>
        </w:rPr>
        <w:t xml:space="preserve">4.7.1  </w:t>
      </w:r>
      <w:r>
        <w:rPr>
          <w:rFonts w:hint="eastAsia"/>
          <w:bCs/>
          <w:szCs w:val="21"/>
        </w:rPr>
        <w:t>起重机械未经验收合格投入使用。</w:t>
      </w:r>
    </w:p>
    <w:p>
      <w:pPr>
        <w:spacing w:line="400" w:lineRule="exact"/>
        <w:rPr>
          <w:b/>
          <w:szCs w:val="21"/>
        </w:rPr>
      </w:pPr>
      <w:r>
        <w:rPr>
          <w:rFonts w:hint="eastAsia"/>
          <w:b/>
          <w:szCs w:val="21"/>
        </w:rPr>
        <w:t xml:space="preserve">4.7.2  </w:t>
      </w:r>
      <w:r>
        <w:rPr>
          <w:rFonts w:hint="eastAsia"/>
          <w:bCs/>
          <w:szCs w:val="21"/>
        </w:rPr>
        <w:t>在用起重机械超过使用年限未评估或评估不合格。</w:t>
      </w:r>
    </w:p>
    <w:p>
      <w:pPr>
        <w:spacing w:line="400" w:lineRule="exact"/>
        <w:rPr>
          <w:b/>
          <w:szCs w:val="21"/>
        </w:rPr>
      </w:pPr>
      <w:r>
        <w:rPr>
          <w:rFonts w:hint="eastAsia"/>
          <w:b/>
          <w:szCs w:val="21"/>
        </w:rPr>
        <w:t xml:space="preserve">4.7.3 </w:t>
      </w:r>
      <w:r>
        <w:rPr>
          <w:rFonts w:hint="eastAsia"/>
          <w:bCs/>
          <w:szCs w:val="21"/>
        </w:rPr>
        <w:t xml:space="preserve"> 起重机械安装、顶升、附着、拆卸未按规范、说明书和方案施工。</w:t>
      </w:r>
    </w:p>
    <w:p>
      <w:pPr>
        <w:spacing w:line="400" w:lineRule="exact"/>
        <w:rPr>
          <w:bCs/>
          <w:szCs w:val="21"/>
        </w:rPr>
      </w:pPr>
      <w:r>
        <w:rPr>
          <w:rFonts w:hint="eastAsia"/>
          <w:b/>
          <w:szCs w:val="21"/>
        </w:rPr>
        <w:t xml:space="preserve">4.7.4 </w:t>
      </w:r>
      <w:r>
        <w:rPr>
          <w:rFonts w:hint="eastAsia"/>
          <w:bCs/>
          <w:szCs w:val="21"/>
        </w:rPr>
        <w:t xml:space="preserve"> 大风、大雨、大雪、大雾等恶劣天气进行起重机械安拆或吊装作业。</w:t>
      </w:r>
    </w:p>
    <w:p>
      <w:pPr>
        <w:spacing w:line="400" w:lineRule="exact"/>
        <w:rPr>
          <w:b/>
          <w:szCs w:val="21"/>
        </w:rPr>
      </w:pPr>
      <w:r>
        <w:rPr>
          <w:rFonts w:hint="eastAsia"/>
          <w:b/>
          <w:szCs w:val="21"/>
        </w:rPr>
        <w:t xml:space="preserve">4.7.5 </w:t>
      </w:r>
      <w:r>
        <w:rPr>
          <w:rFonts w:hint="eastAsia"/>
          <w:bCs/>
          <w:szCs w:val="21"/>
        </w:rPr>
        <w:t xml:space="preserve"> 起重机械基础未按国家标准和使用说明书规定要求进行设计和施工。</w:t>
      </w:r>
    </w:p>
    <w:p>
      <w:pPr>
        <w:spacing w:line="400" w:lineRule="exact"/>
        <w:rPr>
          <w:b/>
          <w:szCs w:val="21"/>
        </w:rPr>
      </w:pPr>
      <w:r>
        <w:rPr>
          <w:rFonts w:hint="eastAsia"/>
          <w:b/>
          <w:szCs w:val="21"/>
        </w:rPr>
        <w:t xml:space="preserve">4.7.6  </w:t>
      </w:r>
      <w:r>
        <w:rPr>
          <w:rFonts w:hint="eastAsia"/>
          <w:bCs/>
          <w:szCs w:val="21"/>
        </w:rPr>
        <w:t>起重机械主要受力构件或结构件开焊、开裂、锈蚀、塑性变形。</w:t>
      </w:r>
    </w:p>
    <w:p>
      <w:pPr>
        <w:spacing w:line="400" w:lineRule="exact"/>
        <w:rPr>
          <w:b/>
          <w:szCs w:val="21"/>
        </w:rPr>
      </w:pPr>
      <w:r>
        <w:rPr>
          <w:rFonts w:hint="eastAsia"/>
          <w:b/>
          <w:szCs w:val="21"/>
        </w:rPr>
        <w:t xml:space="preserve">4.7.7 </w:t>
      </w:r>
      <w:r>
        <w:rPr>
          <w:rFonts w:hint="eastAsia"/>
          <w:bCs/>
          <w:szCs w:val="21"/>
        </w:rPr>
        <w:t xml:space="preserve"> 起重机械安全保护装置缺失或失效。</w:t>
      </w:r>
    </w:p>
    <w:p>
      <w:pPr>
        <w:spacing w:line="400" w:lineRule="exact"/>
        <w:rPr>
          <w:b/>
          <w:szCs w:val="21"/>
        </w:rPr>
      </w:pPr>
      <w:r>
        <w:rPr>
          <w:rFonts w:hint="eastAsia"/>
          <w:b/>
          <w:szCs w:val="21"/>
        </w:rPr>
        <w:t xml:space="preserve">4.7.8  </w:t>
      </w:r>
      <w:r>
        <w:rPr>
          <w:rFonts w:hint="eastAsia"/>
          <w:bCs/>
          <w:szCs w:val="21"/>
        </w:rPr>
        <w:t>起重机械结构连接螺栓、连接销轴缺失或连接螺栓达不到规定扭力矩。</w:t>
      </w:r>
    </w:p>
    <w:p>
      <w:pPr>
        <w:spacing w:line="400" w:lineRule="exact"/>
        <w:rPr>
          <w:bCs/>
          <w:szCs w:val="21"/>
        </w:rPr>
      </w:pPr>
      <w:r>
        <w:rPr>
          <w:rFonts w:hint="eastAsia"/>
          <w:b/>
          <w:szCs w:val="21"/>
        </w:rPr>
        <w:t xml:space="preserve">4.7.9  </w:t>
      </w:r>
      <w:r>
        <w:rPr>
          <w:rFonts w:hint="eastAsia"/>
          <w:bCs/>
          <w:szCs w:val="21"/>
        </w:rPr>
        <w:t>起重机械零部件达到报废标准。</w:t>
      </w:r>
    </w:p>
    <w:p>
      <w:pPr>
        <w:spacing w:line="400" w:lineRule="exact"/>
        <w:rPr>
          <w:b/>
          <w:szCs w:val="21"/>
        </w:rPr>
      </w:pPr>
      <w:r>
        <w:rPr>
          <w:rFonts w:hint="eastAsia"/>
          <w:b/>
          <w:szCs w:val="21"/>
        </w:rPr>
        <w:t xml:space="preserve">4.7.10 </w:t>
      </w:r>
      <w:r>
        <w:rPr>
          <w:rFonts w:hint="eastAsia"/>
          <w:bCs/>
          <w:szCs w:val="21"/>
        </w:rPr>
        <w:t>塔式起重机、施工升降机垂直度偏差大于规范要求。</w:t>
      </w:r>
    </w:p>
    <w:p>
      <w:pPr>
        <w:spacing w:line="400" w:lineRule="exact"/>
        <w:rPr>
          <w:b/>
          <w:szCs w:val="21"/>
        </w:rPr>
      </w:pPr>
      <w:r>
        <w:rPr>
          <w:rFonts w:hint="eastAsia"/>
          <w:b/>
          <w:szCs w:val="21"/>
        </w:rPr>
        <w:t xml:space="preserve">4.7.11 </w:t>
      </w:r>
      <w:r>
        <w:rPr>
          <w:rFonts w:hint="eastAsia"/>
          <w:bCs/>
          <w:szCs w:val="21"/>
        </w:rPr>
        <w:t>塔式起重机之间安全距离不符合规范要求。</w:t>
      </w:r>
    </w:p>
    <w:p>
      <w:pPr>
        <w:spacing w:line="400" w:lineRule="exact"/>
        <w:rPr>
          <w:bCs/>
          <w:szCs w:val="21"/>
        </w:rPr>
      </w:pPr>
      <w:r>
        <w:rPr>
          <w:rFonts w:hint="eastAsia"/>
          <w:b/>
          <w:szCs w:val="21"/>
        </w:rPr>
        <w:t xml:space="preserve">4.7.12 </w:t>
      </w:r>
      <w:r>
        <w:rPr>
          <w:rFonts w:hint="eastAsia"/>
          <w:bCs/>
          <w:szCs w:val="21"/>
        </w:rPr>
        <w:t>门式起重机轨道或基础梁不均匀沉降。</w:t>
      </w:r>
    </w:p>
    <w:p>
      <w:pPr>
        <w:spacing w:line="400" w:lineRule="exact"/>
        <w:rPr>
          <w:b/>
          <w:szCs w:val="21"/>
        </w:rPr>
      </w:pPr>
      <w:r>
        <w:rPr>
          <w:rFonts w:hint="eastAsia"/>
          <w:b/>
          <w:szCs w:val="21"/>
        </w:rPr>
        <w:t xml:space="preserve">4.7.13 </w:t>
      </w:r>
      <w:r>
        <w:rPr>
          <w:rFonts w:hint="eastAsia"/>
          <w:bCs/>
          <w:szCs w:val="21"/>
        </w:rPr>
        <w:t>门式起重机停用时，未使用夹轨器夹紧，无锚定装置或其他防风防滑装置。</w:t>
      </w:r>
    </w:p>
    <w:p>
      <w:pPr>
        <w:spacing w:line="400" w:lineRule="exact"/>
        <w:rPr>
          <w:b/>
          <w:szCs w:val="21"/>
        </w:rPr>
      </w:pPr>
      <w:r>
        <w:rPr>
          <w:rFonts w:hint="eastAsia"/>
          <w:b/>
          <w:szCs w:val="21"/>
        </w:rPr>
        <w:t xml:space="preserve">4.7.14 </w:t>
      </w:r>
      <w:r>
        <w:rPr>
          <w:rFonts w:hint="eastAsia"/>
          <w:bCs/>
          <w:szCs w:val="21"/>
        </w:rPr>
        <w:t>施工升降机防坠安全器失效或超载使用。</w:t>
      </w:r>
    </w:p>
    <w:p>
      <w:pPr>
        <w:spacing w:line="400" w:lineRule="exact"/>
        <w:rPr>
          <w:bCs/>
          <w:szCs w:val="21"/>
        </w:rPr>
      </w:pPr>
      <w:r>
        <w:rPr>
          <w:rFonts w:hint="eastAsia"/>
          <w:b/>
          <w:szCs w:val="21"/>
        </w:rPr>
        <w:t xml:space="preserve">4.7.15 </w:t>
      </w:r>
      <w:r>
        <w:rPr>
          <w:rFonts w:hint="eastAsia"/>
          <w:bCs/>
          <w:szCs w:val="21"/>
        </w:rPr>
        <w:t>物料提升机安全停层装置缺失或失效。</w:t>
      </w:r>
    </w:p>
    <w:p>
      <w:pPr>
        <w:spacing w:line="400" w:lineRule="exact"/>
        <w:rPr>
          <w:bCs/>
          <w:szCs w:val="21"/>
        </w:rPr>
      </w:pPr>
      <w:r>
        <w:rPr>
          <w:rFonts w:hint="eastAsia"/>
          <w:b/>
          <w:szCs w:val="21"/>
        </w:rPr>
        <w:t xml:space="preserve">4.7.16 </w:t>
      </w:r>
      <w:r>
        <w:rPr>
          <w:rFonts w:hint="eastAsia"/>
          <w:bCs/>
          <w:szCs w:val="21"/>
        </w:rPr>
        <w:t>汽车式起重机支腿站位点的平整度和基础承载力不满足规范和说明书要求。</w:t>
      </w:r>
    </w:p>
    <w:p>
      <w:pPr>
        <w:spacing w:line="400" w:lineRule="exact"/>
        <w:rPr>
          <w:bCs/>
          <w:szCs w:val="21"/>
        </w:rPr>
      </w:pPr>
      <w:r>
        <w:rPr>
          <w:rFonts w:hint="eastAsia"/>
          <w:b/>
          <w:szCs w:val="21"/>
        </w:rPr>
        <w:t>4.7.17</w:t>
      </w:r>
      <w:r>
        <w:rPr>
          <w:rFonts w:hint="eastAsia"/>
          <w:bCs/>
          <w:szCs w:val="21"/>
        </w:rPr>
        <w:t xml:space="preserve"> 起重吊装作业用吊索具达到报废标准。</w:t>
      </w:r>
    </w:p>
    <w:p>
      <w:pPr>
        <w:spacing w:line="400" w:lineRule="exact"/>
        <w:rPr>
          <w:bCs/>
          <w:szCs w:val="21"/>
        </w:rPr>
      </w:pPr>
      <w:r>
        <w:rPr>
          <w:rFonts w:hint="eastAsia"/>
          <w:b/>
          <w:szCs w:val="21"/>
        </w:rPr>
        <w:t xml:space="preserve">4.7.18 </w:t>
      </w:r>
      <w:r>
        <w:rPr>
          <w:rFonts w:hint="eastAsia"/>
          <w:bCs/>
          <w:szCs w:val="21"/>
        </w:rPr>
        <w:t>起重机械吊装时，其任何部位或被吊物与架空线路的最小安全距离不符合规定；或越过无防护设施的外电架空线路作业。</w:t>
      </w:r>
    </w:p>
    <w:p>
      <w:pPr>
        <w:spacing w:line="400" w:lineRule="exact"/>
        <w:rPr>
          <w:b/>
          <w:szCs w:val="21"/>
        </w:rPr>
      </w:pPr>
      <w:r>
        <w:rPr>
          <w:rFonts w:hint="eastAsia"/>
          <w:b/>
          <w:szCs w:val="21"/>
        </w:rPr>
        <w:t xml:space="preserve">4.7.19 </w:t>
      </w:r>
      <w:r>
        <w:rPr>
          <w:rFonts w:hint="eastAsia"/>
          <w:bCs/>
          <w:szCs w:val="21"/>
        </w:rPr>
        <w:t>大件起重吊装、多台起重设备联合作业或吊运异形结构无吊装方案。</w:t>
      </w:r>
    </w:p>
    <w:p>
      <w:pPr>
        <w:spacing w:line="400" w:lineRule="exact"/>
        <w:rPr>
          <w:bCs/>
          <w:szCs w:val="21"/>
        </w:rPr>
      </w:pPr>
      <w:r>
        <w:rPr>
          <w:rFonts w:hint="eastAsia"/>
          <w:b/>
          <w:szCs w:val="21"/>
        </w:rPr>
        <w:t xml:space="preserve">4.7.20 </w:t>
      </w:r>
      <w:r>
        <w:rPr>
          <w:rFonts w:hint="eastAsia"/>
          <w:bCs/>
          <w:szCs w:val="21"/>
        </w:rPr>
        <w:t>起重吊装作业违反“十不吊”要求。</w:t>
      </w:r>
    </w:p>
    <w:p>
      <w:pPr>
        <w:pStyle w:val="3"/>
        <w:tabs>
          <w:tab w:val="left" w:pos="992"/>
        </w:tabs>
        <w:spacing w:before="340" w:after="100" w:afterAutospacing="1" w:line="400" w:lineRule="exact"/>
        <w:rPr>
          <w:rFonts w:ascii="黑体" w:hAnsi="黑体" w:cs="黑体"/>
          <w:kern w:val="44"/>
          <w:szCs w:val="24"/>
        </w:rPr>
      </w:pPr>
      <w:bookmarkStart w:id="19" w:name="_Toc12435"/>
      <w:r>
        <w:rPr>
          <w:rFonts w:ascii="Times New Roman" w:hAnsi="Times New Roman"/>
          <w:kern w:val="44"/>
          <w:szCs w:val="24"/>
        </w:rPr>
        <w:t>4.8</w:t>
      </w:r>
      <w:r>
        <w:rPr>
          <w:rFonts w:hint="eastAsia" w:ascii="黑体" w:hAnsi="黑体" w:cs="黑体"/>
          <w:kern w:val="44"/>
          <w:szCs w:val="24"/>
        </w:rPr>
        <w:t xml:space="preserve">  有限空间作业</w:t>
      </w:r>
      <w:bookmarkEnd w:id="19"/>
    </w:p>
    <w:p>
      <w:pPr>
        <w:spacing w:line="400" w:lineRule="exact"/>
        <w:rPr>
          <w:b/>
          <w:szCs w:val="21"/>
        </w:rPr>
      </w:pPr>
      <w:r>
        <w:rPr>
          <w:rFonts w:hint="eastAsia"/>
          <w:b/>
          <w:szCs w:val="21"/>
        </w:rPr>
        <w:t xml:space="preserve">4.8.1  </w:t>
      </w:r>
      <w:r>
        <w:rPr>
          <w:rFonts w:hint="eastAsia"/>
          <w:bCs/>
          <w:szCs w:val="21"/>
        </w:rPr>
        <w:t>有限空间作业未履行“作业审批制度”，未对施工人员进行专项安全教育培训。</w:t>
      </w:r>
    </w:p>
    <w:p>
      <w:pPr>
        <w:spacing w:line="400" w:lineRule="exact"/>
        <w:rPr>
          <w:b/>
          <w:szCs w:val="21"/>
        </w:rPr>
      </w:pPr>
      <w:r>
        <w:rPr>
          <w:rFonts w:hint="eastAsia"/>
          <w:b/>
          <w:szCs w:val="21"/>
        </w:rPr>
        <w:t xml:space="preserve">4.8.2  </w:t>
      </w:r>
      <w:r>
        <w:rPr>
          <w:rFonts w:hint="eastAsia"/>
          <w:bCs/>
          <w:szCs w:val="21"/>
        </w:rPr>
        <w:t>有限空间作业未执行“先通风、再检测、后作业”原则。</w:t>
      </w:r>
    </w:p>
    <w:p>
      <w:pPr>
        <w:spacing w:line="400" w:lineRule="exact"/>
        <w:rPr>
          <w:bCs/>
          <w:szCs w:val="21"/>
        </w:rPr>
      </w:pPr>
      <w:r>
        <w:rPr>
          <w:rFonts w:hint="eastAsia"/>
          <w:b/>
          <w:szCs w:val="21"/>
        </w:rPr>
        <w:t xml:space="preserve">4.8.3  </w:t>
      </w:r>
      <w:r>
        <w:rPr>
          <w:rFonts w:hint="eastAsia"/>
          <w:bCs/>
          <w:szCs w:val="21"/>
        </w:rPr>
        <w:t>有限空间作业负责人及监护人员未履行安全职责，未落实应急措施。</w:t>
      </w:r>
    </w:p>
    <w:p>
      <w:pPr>
        <w:spacing w:line="400" w:lineRule="exact"/>
        <w:rPr>
          <w:b/>
          <w:szCs w:val="21"/>
        </w:rPr>
      </w:pPr>
      <w:r>
        <w:rPr>
          <w:rFonts w:hint="eastAsia"/>
          <w:b/>
          <w:szCs w:val="21"/>
        </w:rPr>
        <w:t xml:space="preserve">4.8.4  </w:t>
      </w:r>
      <w:r>
        <w:rPr>
          <w:rFonts w:hint="eastAsia" w:ascii="宋体" w:hAnsi="宋体" w:cs="宋体"/>
          <w:bCs/>
          <w:szCs w:val="21"/>
        </w:rPr>
        <w:t>人工挖孔每层挖土深度大于</w:t>
      </w:r>
      <w:r>
        <w:rPr>
          <w:bCs/>
          <w:szCs w:val="21"/>
        </w:rPr>
        <w:t>100</w:t>
      </w:r>
      <w:r>
        <w:rPr>
          <w:rFonts w:hint="eastAsia"/>
          <w:bCs/>
          <w:szCs w:val="21"/>
          <w:lang w:eastAsia="zh-CN"/>
        </w:rPr>
        <w:t>0mm</w:t>
      </w:r>
      <w:r>
        <w:rPr>
          <w:rFonts w:hint="eastAsia" w:ascii="宋体" w:hAnsi="宋体" w:cs="宋体"/>
          <w:bCs/>
          <w:szCs w:val="21"/>
        </w:rPr>
        <w:t>，或松软土质挖土深度大于</w:t>
      </w:r>
      <w:r>
        <w:rPr>
          <w:bCs/>
          <w:szCs w:val="21"/>
        </w:rPr>
        <w:t>50</w:t>
      </w:r>
      <w:r>
        <w:rPr>
          <w:rFonts w:hint="eastAsia"/>
          <w:bCs/>
          <w:szCs w:val="21"/>
          <w:lang w:eastAsia="zh-CN"/>
        </w:rPr>
        <w:t>0mm</w:t>
      </w:r>
      <w:r>
        <w:rPr>
          <w:rFonts w:hint="eastAsia" w:ascii="宋体" w:hAnsi="宋体" w:cs="宋体"/>
          <w:bCs/>
          <w:szCs w:val="21"/>
        </w:rPr>
        <w:t>，护壁未随土方开挖逐层实施，或护壁强度未达到</w:t>
      </w:r>
      <w:r>
        <w:rPr>
          <w:bCs/>
          <w:szCs w:val="21"/>
        </w:rPr>
        <w:t>5</w:t>
      </w:r>
      <w:r>
        <w:rPr>
          <w:rFonts w:hint="eastAsia"/>
          <w:bCs/>
          <w:szCs w:val="21"/>
          <w:lang w:val="en-US" w:eastAsia="zh-CN"/>
        </w:rPr>
        <w:t>M</w:t>
      </w:r>
      <w:r>
        <w:rPr>
          <w:bCs/>
          <w:szCs w:val="21"/>
        </w:rPr>
        <w:t>Pa</w:t>
      </w:r>
      <w:r>
        <w:rPr>
          <w:rFonts w:hint="eastAsia" w:ascii="宋体" w:hAnsi="宋体" w:cs="宋体"/>
          <w:bCs/>
          <w:szCs w:val="21"/>
        </w:rPr>
        <w:t>即开挖下层土方。</w:t>
      </w:r>
    </w:p>
    <w:p>
      <w:pPr>
        <w:spacing w:line="400" w:lineRule="exact"/>
        <w:rPr>
          <w:b/>
          <w:szCs w:val="21"/>
        </w:rPr>
      </w:pPr>
      <w:r>
        <w:rPr>
          <w:rFonts w:hint="eastAsia"/>
          <w:b/>
          <w:szCs w:val="21"/>
        </w:rPr>
        <w:t xml:space="preserve">4.8.5 </w:t>
      </w:r>
      <w:r>
        <w:rPr>
          <w:rFonts w:hint="eastAsia" w:ascii="宋体" w:hAnsi="宋体" w:cs="宋体"/>
          <w:bCs/>
          <w:szCs w:val="21"/>
        </w:rPr>
        <w:t xml:space="preserve"> 人工挖孔同时施工的两桩净距小于5</w:t>
      </w:r>
      <w:r>
        <w:rPr>
          <w:rFonts w:hint="eastAsia" w:ascii="宋体" w:hAnsi="宋体" w:cs="宋体"/>
          <w:bCs/>
          <w:szCs w:val="21"/>
          <w:lang w:eastAsia="zh-CN"/>
        </w:rPr>
        <w:t>m</w:t>
      </w:r>
      <w:r>
        <w:rPr>
          <w:rFonts w:hint="eastAsia" w:ascii="宋体" w:hAnsi="宋体" w:cs="宋体"/>
          <w:bCs/>
          <w:szCs w:val="21"/>
        </w:rPr>
        <w:t>。</w:t>
      </w:r>
    </w:p>
    <w:p>
      <w:pPr>
        <w:spacing w:line="400" w:lineRule="exact"/>
        <w:rPr>
          <w:bCs/>
          <w:szCs w:val="21"/>
        </w:rPr>
      </w:pPr>
      <w:r>
        <w:rPr>
          <w:rFonts w:hint="eastAsia"/>
          <w:b/>
          <w:szCs w:val="21"/>
        </w:rPr>
        <w:t xml:space="preserve">4.8.6 </w:t>
      </w:r>
      <w:r>
        <w:rPr>
          <w:rFonts w:hint="eastAsia"/>
          <w:bCs/>
          <w:szCs w:val="21"/>
        </w:rPr>
        <w:t xml:space="preserve"> 机动车辆通行孔洞及周边时，无塌孔预防措施。</w:t>
      </w:r>
    </w:p>
    <w:p>
      <w:pPr>
        <w:pStyle w:val="3"/>
        <w:tabs>
          <w:tab w:val="left" w:pos="992"/>
        </w:tabs>
        <w:spacing w:before="340" w:after="100" w:afterAutospacing="1" w:line="400" w:lineRule="exact"/>
        <w:rPr>
          <w:rFonts w:ascii="黑体" w:hAnsi="黑体" w:cs="黑体"/>
          <w:kern w:val="44"/>
          <w:szCs w:val="24"/>
        </w:rPr>
      </w:pPr>
      <w:bookmarkStart w:id="20" w:name="_Toc27985"/>
      <w:r>
        <w:rPr>
          <w:rFonts w:ascii="Times New Roman" w:hAnsi="Times New Roman"/>
          <w:kern w:val="44"/>
          <w:szCs w:val="24"/>
        </w:rPr>
        <w:t>4.9</w:t>
      </w:r>
      <w:r>
        <w:rPr>
          <w:rFonts w:hint="eastAsia" w:ascii="黑体" w:hAnsi="黑体" w:cs="黑体"/>
          <w:kern w:val="44"/>
          <w:szCs w:val="24"/>
        </w:rPr>
        <w:t xml:space="preserve">  消防安全</w:t>
      </w:r>
      <w:bookmarkEnd w:id="20"/>
    </w:p>
    <w:p>
      <w:pPr>
        <w:spacing w:line="400" w:lineRule="exact"/>
        <w:rPr>
          <w:b/>
          <w:szCs w:val="21"/>
        </w:rPr>
      </w:pPr>
      <w:r>
        <w:rPr>
          <w:rFonts w:hint="eastAsia"/>
          <w:b/>
          <w:szCs w:val="21"/>
        </w:rPr>
        <w:t xml:space="preserve">4.9.1 </w:t>
      </w:r>
      <w:r>
        <w:rPr>
          <w:rFonts w:hint="eastAsia"/>
          <w:bCs/>
          <w:szCs w:val="21"/>
        </w:rPr>
        <w:t xml:space="preserve"> 施工现场内未按规定设置临时消防车道、疏散通道、安全出口或以上设施被堵塞、占用。</w:t>
      </w:r>
    </w:p>
    <w:p>
      <w:pPr>
        <w:spacing w:line="400" w:lineRule="exact"/>
        <w:rPr>
          <w:b/>
          <w:szCs w:val="21"/>
        </w:rPr>
      </w:pPr>
      <w:r>
        <w:rPr>
          <w:rFonts w:hint="eastAsia"/>
          <w:b/>
          <w:szCs w:val="21"/>
        </w:rPr>
        <w:t xml:space="preserve">4.9.2  </w:t>
      </w:r>
      <w:r>
        <w:rPr>
          <w:rFonts w:hint="eastAsia"/>
          <w:bCs/>
          <w:szCs w:val="21"/>
        </w:rPr>
        <w:t>主要临时用房、临时设施的防火间距小于规定值。</w:t>
      </w:r>
    </w:p>
    <w:p>
      <w:pPr>
        <w:spacing w:line="400" w:lineRule="exact"/>
        <w:rPr>
          <w:b/>
          <w:szCs w:val="21"/>
        </w:rPr>
      </w:pPr>
      <w:r>
        <w:rPr>
          <w:rFonts w:hint="eastAsia"/>
          <w:b/>
          <w:szCs w:val="21"/>
        </w:rPr>
        <w:t xml:space="preserve">4.9.3 </w:t>
      </w:r>
      <w:r>
        <w:rPr>
          <w:rFonts w:hint="eastAsia"/>
          <w:bCs/>
          <w:szCs w:val="21"/>
        </w:rPr>
        <w:t xml:space="preserve"> 在施工程内设置宿舍。</w:t>
      </w:r>
    </w:p>
    <w:p>
      <w:pPr>
        <w:spacing w:line="400" w:lineRule="exact"/>
        <w:rPr>
          <w:b/>
          <w:szCs w:val="21"/>
        </w:rPr>
      </w:pPr>
      <w:r>
        <w:rPr>
          <w:rFonts w:hint="eastAsia"/>
          <w:b/>
          <w:szCs w:val="21"/>
        </w:rPr>
        <w:t xml:space="preserve">4.9.4  </w:t>
      </w:r>
      <w:r>
        <w:rPr>
          <w:rFonts w:hint="eastAsia"/>
          <w:bCs/>
          <w:szCs w:val="21"/>
        </w:rPr>
        <w:t>施工现场未按规定设置临时消防给水系统或消防给水系统不能正常使用。</w:t>
      </w:r>
    </w:p>
    <w:p>
      <w:pPr>
        <w:spacing w:line="400" w:lineRule="exact"/>
        <w:rPr>
          <w:bCs/>
          <w:szCs w:val="21"/>
        </w:rPr>
      </w:pPr>
      <w:r>
        <w:rPr>
          <w:rFonts w:hint="eastAsia"/>
          <w:b/>
          <w:szCs w:val="21"/>
        </w:rPr>
        <w:t xml:space="preserve">4.9.5 </w:t>
      </w:r>
      <w:r>
        <w:rPr>
          <w:rFonts w:hint="eastAsia"/>
          <w:bCs/>
          <w:szCs w:val="21"/>
        </w:rPr>
        <w:t xml:space="preserve"> 消火栓泵未采用专用消防配电线路，或电源未引自施工现场总配电箱的总断路器上端。</w:t>
      </w:r>
    </w:p>
    <w:p>
      <w:pPr>
        <w:spacing w:line="400" w:lineRule="exact"/>
        <w:rPr>
          <w:b/>
          <w:szCs w:val="21"/>
        </w:rPr>
      </w:pPr>
      <w:r>
        <w:rPr>
          <w:rFonts w:hint="eastAsia"/>
          <w:b/>
          <w:szCs w:val="21"/>
        </w:rPr>
        <w:t xml:space="preserve">4.9.6  </w:t>
      </w:r>
      <w:r>
        <w:rPr>
          <w:rFonts w:hint="eastAsia"/>
          <w:bCs/>
          <w:szCs w:val="21"/>
        </w:rPr>
        <w:t>施工现场使用的保温材料燃烧性能等级不符合规范或设计要求。</w:t>
      </w:r>
    </w:p>
    <w:p>
      <w:pPr>
        <w:spacing w:line="400" w:lineRule="exact"/>
        <w:rPr>
          <w:b/>
          <w:szCs w:val="21"/>
        </w:rPr>
      </w:pPr>
      <w:r>
        <w:rPr>
          <w:rFonts w:hint="eastAsia"/>
          <w:b/>
          <w:szCs w:val="21"/>
        </w:rPr>
        <w:t xml:space="preserve">4.9.7 </w:t>
      </w:r>
      <w:r>
        <w:rPr>
          <w:rFonts w:hint="eastAsia"/>
          <w:bCs/>
          <w:szCs w:val="21"/>
        </w:rPr>
        <w:t xml:space="preserve"> 室内使用油漆及其有机溶剂、乙二胺、冷底子油等易挥发产生易燃气体作业时，未保持通风。</w:t>
      </w:r>
    </w:p>
    <w:p>
      <w:pPr>
        <w:spacing w:line="400" w:lineRule="exact"/>
        <w:rPr>
          <w:bCs/>
          <w:szCs w:val="21"/>
        </w:rPr>
      </w:pPr>
      <w:r>
        <w:rPr>
          <w:rFonts w:hint="eastAsia"/>
          <w:b/>
          <w:szCs w:val="21"/>
        </w:rPr>
        <w:t xml:space="preserve">4.9.8  </w:t>
      </w:r>
      <w:r>
        <w:rPr>
          <w:rFonts w:hint="eastAsia"/>
          <w:bCs/>
          <w:szCs w:val="21"/>
        </w:rPr>
        <w:t>施工现场未建立实施动火审批制度或现场动火部位未设置动火监护人、未清理动火作业现场可燃物、未配备消防器材。</w:t>
      </w:r>
    </w:p>
    <w:p>
      <w:pPr>
        <w:spacing w:line="400" w:lineRule="exact"/>
        <w:rPr>
          <w:bCs/>
          <w:szCs w:val="21"/>
        </w:rPr>
      </w:pPr>
      <w:r>
        <w:rPr>
          <w:rFonts w:hint="eastAsia"/>
          <w:b/>
          <w:szCs w:val="21"/>
        </w:rPr>
        <w:t xml:space="preserve">4.9.9  </w:t>
      </w:r>
      <w:r>
        <w:rPr>
          <w:rFonts w:hint="eastAsia"/>
          <w:bCs/>
          <w:szCs w:val="21"/>
        </w:rPr>
        <w:t>在具有火灾、爆炸危险的场所使用明火；冬季施工时使用明火进行升温保温；在宿舍内使用明火取暖、做饭。</w:t>
      </w:r>
    </w:p>
    <w:p>
      <w:pPr>
        <w:spacing w:line="400" w:lineRule="exact"/>
        <w:rPr>
          <w:b/>
          <w:szCs w:val="21"/>
        </w:rPr>
      </w:pPr>
      <w:r>
        <w:rPr>
          <w:rFonts w:hint="eastAsia"/>
          <w:b/>
          <w:szCs w:val="21"/>
        </w:rPr>
        <w:t xml:space="preserve">4.9.10 </w:t>
      </w:r>
      <w:r>
        <w:rPr>
          <w:rFonts w:hint="eastAsia"/>
          <w:bCs/>
          <w:szCs w:val="21"/>
        </w:rPr>
        <w:t>施工区及室内违规存放电动自行车或违规充电。</w:t>
      </w:r>
    </w:p>
    <w:p>
      <w:pPr>
        <w:spacing w:line="400" w:lineRule="exact"/>
        <w:rPr>
          <w:bCs/>
          <w:szCs w:val="21"/>
        </w:rPr>
      </w:pPr>
      <w:r>
        <w:rPr>
          <w:rFonts w:hint="eastAsia"/>
          <w:b/>
          <w:szCs w:val="21"/>
        </w:rPr>
        <w:t xml:space="preserve">4.9.11 </w:t>
      </w:r>
      <w:r>
        <w:rPr>
          <w:rFonts w:hint="eastAsia"/>
          <w:bCs/>
          <w:szCs w:val="21"/>
        </w:rPr>
        <w:t>采用不符合消防规定的供配电线缆，或在可燃材料、可燃构件上直接敷设电气线路、安装电气设备。</w:t>
      </w:r>
    </w:p>
    <w:p>
      <w:pPr>
        <w:pStyle w:val="3"/>
        <w:tabs>
          <w:tab w:val="left" w:pos="992"/>
        </w:tabs>
        <w:spacing w:before="340" w:after="100" w:afterAutospacing="1" w:line="400" w:lineRule="exact"/>
        <w:rPr>
          <w:rFonts w:ascii="黑体" w:hAnsi="黑体" w:cs="黑体"/>
          <w:kern w:val="44"/>
          <w:szCs w:val="24"/>
        </w:rPr>
      </w:pPr>
      <w:bookmarkStart w:id="21" w:name="_Toc27144"/>
      <w:r>
        <w:rPr>
          <w:rFonts w:ascii="Times New Roman" w:hAnsi="Times New Roman"/>
          <w:kern w:val="44"/>
          <w:szCs w:val="24"/>
        </w:rPr>
        <w:t>4.10</w:t>
      </w:r>
      <w:r>
        <w:rPr>
          <w:rFonts w:hint="eastAsia" w:ascii="黑体" w:hAnsi="黑体" w:cs="黑体"/>
          <w:kern w:val="44"/>
          <w:szCs w:val="24"/>
        </w:rPr>
        <w:t xml:space="preserve">  其他</w:t>
      </w:r>
      <w:bookmarkEnd w:id="21"/>
    </w:p>
    <w:p>
      <w:pPr>
        <w:spacing w:line="400" w:lineRule="exact"/>
        <w:rPr>
          <w:b/>
          <w:szCs w:val="21"/>
        </w:rPr>
      </w:pPr>
      <w:r>
        <w:rPr>
          <w:rFonts w:hint="eastAsia"/>
          <w:b/>
          <w:szCs w:val="21"/>
        </w:rPr>
        <w:t xml:space="preserve">4.10.1 </w:t>
      </w:r>
      <w:r>
        <w:rPr>
          <w:rFonts w:hint="eastAsia"/>
          <w:bCs/>
          <w:szCs w:val="21"/>
        </w:rPr>
        <w:t>大风、大雨、冰冻、寒潮、大雾等恶劣天气未停止室外露天作业；大雨、大雪等恶劣天气过后未及时铲除脚手架、防护棚、宿舍等临时结构上的积雪、结冰。</w:t>
      </w:r>
    </w:p>
    <w:p>
      <w:pPr>
        <w:spacing w:line="400" w:lineRule="exact"/>
        <w:rPr>
          <w:bCs/>
          <w:szCs w:val="21"/>
        </w:rPr>
      </w:pPr>
      <w:r>
        <w:rPr>
          <w:rFonts w:hint="eastAsia"/>
          <w:b/>
          <w:szCs w:val="21"/>
        </w:rPr>
        <w:t xml:space="preserve">4.10.2 </w:t>
      </w:r>
      <w:r>
        <w:rPr>
          <w:rFonts w:hint="eastAsia"/>
          <w:bCs/>
          <w:szCs w:val="21"/>
        </w:rPr>
        <w:t>宿舍、办公室等临时设施选址在河道、泄洪道、山体滑坡等危险区域或使用中存在主体承重结构损坏、超荷载等现象。</w:t>
      </w:r>
    </w:p>
    <w:p>
      <w:pPr>
        <w:spacing w:line="400" w:lineRule="exact"/>
        <w:rPr>
          <w:b/>
          <w:szCs w:val="21"/>
        </w:rPr>
      </w:pPr>
      <w:r>
        <w:rPr>
          <w:rFonts w:hint="eastAsia"/>
          <w:b/>
          <w:szCs w:val="21"/>
        </w:rPr>
        <w:t xml:space="preserve">4.10.3 </w:t>
      </w:r>
      <w:r>
        <w:rPr>
          <w:rFonts w:hint="eastAsia"/>
          <w:bCs/>
          <w:szCs w:val="21"/>
        </w:rPr>
        <w:t>大量物料倚靠围墙、围挡、房屋墙体一侧堆放；在高度超过1.5</w:t>
      </w:r>
      <w:r>
        <w:rPr>
          <w:rFonts w:hint="eastAsia"/>
          <w:bCs/>
          <w:szCs w:val="21"/>
          <w:lang w:eastAsia="zh-CN"/>
        </w:rPr>
        <w:t>m</w:t>
      </w:r>
      <w:r>
        <w:rPr>
          <w:rFonts w:hint="eastAsia"/>
          <w:bCs/>
          <w:szCs w:val="21"/>
        </w:rPr>
        <w:t>的砖胎模强度未达到要求时回填或未分层回填。</w:t>
      </w:r>
    </w:p>
    <w:p>
      <w:pPr>
        <w:spacing w:line="400" w:lineRule="exact"/>
        <w:rPr>
          <w:b/>
          <w:szCs w:val="21"/>
        </w:rPr>
      </w:pPr>
      <w:r>
        <w:rPr>
          <w:rFonts w:hint="eastAsia"/>
          <w:b/>
          <w:szCs w:val="21"/>
        </w:rPr>
        <w:t xml:space="preserve">4.10.4 </w:t>
      </w:r>
      <w:r>
        <w:rPr>
          <w:rFonts w:hint="eastAsia"/>
          <w:bCs/>
          <w:szCs w:val="21"/>
        </w:rPr>
        <w:t>大断面梁、板钢筋施工时，其支撑马凳的强度、数量不足，位置不合理、无防位移措施或钢筋上方物料存放超过荷载要求。</w:t>
      </w:r>
    </w:p>
    <w:p>
      <w:pPr>
        <w:spacing w:line="400" w:lineRule="exact"/>
        <w:rPr>
          <w:b/>
          <w:szCs w:val="21"/>
        </w:rPr>
      </w:pPr>
      <w:r>
        <w:rPr>
          <w:rFonts w:hint="eastAsia"/>
          <w:b/>
          <w:szCs w:val="21"/>
        </w:rPr>
        <w:t xml:space="preserve">4.10.5 </w:t>
      </w:r>
      <w:r>
        <w:rPr>
          <w:rFonts w:hint="eastAsia"/>
          <w:bCs/>
          <w:szCs w:val="21"/>
        </w:rPr>
        <w:t>无支腿大模板、预制墙体构件、玻璃板等大型材料在存放、装卸、运输、使用过程中未使用专用存放设施或无防倾倒措施。</w:t>
      </w:r>
    </w:p>
    <w:p>
      <w:pPr>
        <w:pStyle w:val="2"/>
        <w:rPr>
          <w:rFonts w:hint="eastAsia" w:eastAsia="宋体"/>
          <w:sz w:val="32"/>
          <w:szCs w:val="32"/>
          <w:lang w:eastAsia="zh-CN"/>
        </w:rPr>
      </w:pPr>
      <w:r>
        <w:br w:type="page"/>
      </w:r>
      <w:bookmarkEnd w:id="3"/>
      <w:bookmarkStart w:id="22" w:name="_Toc349114358"/>
      <w:bookmarkStart w:id="23" w:name="_Toc312309460"/>
      <w:bookmarkStart w:id="24" w:name="_Toc17662"/>
      <w:r>
        <w:rPr>
          <w:rFonts w:hint="eastAsia"/>
          <w:kern w:val="0"/>
        </w:rPr>
        <w:t>5</w:t>
      </w:r>
      <w:r>
        <w:rPr>
          <w:kern w:val="0"/>
        </w:rPr>
        <w:t xml:space="preserve"> </w:t>
      </w:r>
      <w:r>
        <w:rPr>
          <w:rFonts w:hint="eastAsia"/>
          <w:kern w:val="0"/>
        </w:rPr>
        <w:t xml:space="preserve"> </w:t>
      </w:r>
      <w:bookmarkEnd w:id="22"/>
      <w:bookmarkEnd w:id="23"/>
      <w:bookmarkStart w:id="25" w:name="_Toc312309461"/>
      <w:r>
        <w:rPr>
          <w:rFonts w:hint="eastAsia"/>
          <w:kern w:val="0"/>
        </w:rPr>
        <w:t>市政基础设施工程</w:t>
      </w:r>
      <w:bookmarkEnd w:id="24"/>
      <w:r>
        <w:rPr>
          <w:rFonts w:hint="eastAsia"/>
          <w:kern w:val="0"/>
          <w:lang w:eastAsia="zh-CN"/>
        </w:rPr>
        <w:t>重大生产安全事故隐患</w:t>
      </w:r>
    </w:p>
    <w:p>
      <w:pPr>
        <w:pStyle w:val="3"/>
        <w:spacing w:line="400" w:lineRule="exact"/>
        <w:rPr>
          <w:rFonts w:hint="eastAsia"/>
        </w:rPr>
      </w:pPr>
      <w:bookmarkStart w:id="26" w:name="_Toc349114359"/>
      <w:bookmarkStart w:id="27" w:name="_Toc17148"/>
      <w:r>
        <w:t>5.1</w:t>
      </w:r>
      <w:r>
        <w:rPr>
          <w:rFonts w:hint="eastAsia"/>
        </w:rPr>
        <w:t xml:space="preserve">  </w:t>
      </w:r>
      <w:bookmarkEnd w:id="25"/>
      <w:bookmarkEnd w:id="26"/>
      <w:r>
        <w:rPr>
          <w:rFonts w:hint="eastAsia"/>
        </w:rPr>
        <w:t>土石方工程</w:t>
      </w:r>
      <w:bookmarkEnd w:id="27"/>
    </w:p>
    <w:p>
      <w:pPr>
        <w:spacing w:line="400" w:lineRule="exact"/>
        <w:rPr>
          <w:b/>
          <w:szCs w:val="21"/>
        </w:rPr>
      </w:pPr>
      <w:bookmarkStart w:id="28" w:name="_Toc312309462"/>
      <w:r>
        <w:rPr>
          <w:rFonts w:hint="eastAsia"/>
          <w:b/>
          <w:szCs w:val="21"/>
        </w:rPr>
        <w:t xml:space="preserve">5.1.1 </w:t>
      </w:r>
      <w:r>
        <w:rPr>
          <w:rFonts w:hint="eastAsia"/>
          <w:bCs/>
          <w:szCs w:val="21"/>
        </w:rPr>
        <w:t xml:space="preserve"> 对可能造成损害的毗邻建筑物、构筑物和地上地下管线等，未采取专项防护措施。</w:t>
      </w:r>
    </w:p>
    <w:p>
      <w:pPr>
        <w:spacing w:line="400" w:lineRule="exact"/>
        <w:rPr>
          <w:b/>
          <w:szCs w:val="21"/>
        </w:rPr>
      </w:pPr>
      <w:r>
        <w:rPr>
          <w:rFonts w:hint="eastAsia"/>
          <w:b/>
          <w:szCs w:val="21"/>
        </w:rPr>
        <w:t xml:space="preserve">5.1.2  </w:t>
      </w:r>
      <w:r>
        <w:rPr>
          <w:rFonts w:hint="eastAsia"/>
          <w:bCs/>
          <w:szCs w:val="21"/>
        </w:rPr>
        <w:t>明挖基坑（槽）深度超过1.5</w:t>
      </w:r>
      <w:r>
        <w:rPr>
          <w:rFonts w:hint="eastAsia"/>
          <w:bCs/>
          <w:szCs w:val="21"/>
          <w:lang w:eastAsia="zh-CN"/>
        </w:rPr>
        <w:t>m</w:t>
      </w:r>
      <w:r>
        <w:rPr>
          <w:rFonts w:hint="eastAsia"/>
          <w:bCs/>
          <w:szCs w:val="21"/>
        </w:rPr>
        <w:t>，未按设计及方案放坡或采取支护措施。</w:t>
      </w:r>
    </w:p>
    <w:p>
      <w:pPr>
        <w:spacing w:line="400" w:lineRule="exact"/>
        <w:rPr>
          <w:b/>
          <w:szCs w:val="21"/>
        </w:rPr>
      </w:pPr>
      <w:r>
        <w:rPr>
          <w:rFonts w:hint="eastAsia"/>
          <w:b/>
          <w:szCs w:val="21"/>
        </w:rPr>
        <w:t xml:space="preserve">5.1.3  </w:t>
      </w:r>
      <w:r>
        <w:rPr>
          <w:rFonts w:hint="eastAsia"/>
          <w:bCs/>
          <w:szCs w:val="21"/>
        </w:rPr>
        <w:t>开挖深度超过5</w:t>
      </w:r>
      <w:r>
        <w:rPr>
          <w:rFonts w:hint="eastAsia"/>
          <w:bCs/>
          <w:szCs w:val="21"/>
          <w:lang w:eastAsia="zh-CN"/>
        </w:rPr>
        <w:t>m</w:t>
      </w:r>
      <w:r>
        <w:rPr>
          <w:rFonts w:hint="eastAsia"/>
          <w:bCs/>
          <w:szCs w:val="21"/>
        </w:rPr>
        <w:t>、或开挖深度未超过5</w:t>
      </w:r>
      <w:r>
        <w:rPr>
          <w:rFonts w:hint="eastAsia"/>
          <w:bCs/>
          <w:szCs w:val="21"/>
          <w:lang w:eastAsia="zh-CN"/>
        </w:rPr>
        <w:t>m</w:t>
      </w:r>
      <w:r>
        <w:rPr>
          <w:rFonts w:hint="eastAsia"/>
          <w:bCs/>
          <w:szCs w:val="21"/>
        </w:rPr>
        <w:t>但现场地质情况和周围环境较复杂的基坑工程未实施基坑工程监测。</w:t>
      </w:r>
    </w:p>
    <w:p>
      <w:pPr>
        <w:spacing w:line="400" w:lineRule="exact"/>
        <w:rPr>
          <w:rFonts w:hint="eastAsia"/>
          <w:b/>
          <w:szCs w:val="21"/>
        </w:rPr>
      </w:pPr>
      <w:r>
        <w:rPr>
          <w:rFonts w:hint="eastAsia"/>
          <w:b/>
          <w:szCs w:val="21"/>
        </w:rPr>
        <w:t xml:space="preserve">5.1.4  </w:t>
      </w:r>
      <w:r>
        <w:rPr>
          <w:rFonts w:hint="eastAsia"/>
          <w:bCs/>
          <w:szCs w:val="21"/>
        </w:rPr>
        <w:t>基坑边堆置土、料具等荷载超过设计限值。</w:t>
      </w:r>
      <w:r>
        <w:rPr>
          <w:rFonts w:hint="eastAsia"/>
          <w:b/>
          <w:szCs w:val="21"/>
        </w:rPr>
        <w:t xml:space="preserve"> </w:t>
      </w:r>
    </w:p>
    <w:p>
      <w:pPr>
        <w:pStyle w:val="3"/>
        <w:spacing w:line="400" w:lineRule="exact"/>
        <w:rPr>
          <w:rFonts w:hint="eastAsia" w:eastAsia="黑体"/>
          <w:lang w:val="en-US" w:eastAsia="zh-CN"/>
        </w:rPr>
      </w:pPr>
      <w:bookmarkStart w:id="29" w:name="_Toc349114360"/>
      <w:bookmarkStart w:id="30" w:name="_Toc21969"/>
      <w:r>
        <w:rPr>
          <w:rFonts w:hint="eastAsia"/>
        </w:rPr>
        <w:t xml:space="preserve">5.2  </w:t>
      </w:r>
      <w:bookmarkEnd w:id="28"/>
      <w:bookmarkEnd w:id="29"/>
      <w:r>
        <w:rPr>
          <w:rFonts w:hint="eastAsia"/>
          <w:lang w:val="en-US"/>
        </w:rPr>
        <w:t>脚手架、模板</w:t>
      </w:r>
      <w:bookmarkEnd w:id="30"/>
      <w:r>
        <w:rPr>
          <w:rFonts w:hint="eastAsia"/>
          <w:lang w:val="en-US" w:eastAsia="zh-CN"/>
        </w:rPr>
        <w:t>工程</w:t>
      </w:r>
    </w:p>
    <w:p>
      <w:pPr>
        <w:spacing w:line="400" w:lineRule="exact"/>
        <w:rPr>
          <w:b/>
          <w:szCs w:val="21"/>
        </w:rPr>
      </w:pPr>
      <w:r>
        <w:rPr>
          <w:rFonts w:hint="eastAsia"/>
          <w:b/>
          <w:szCs w:val="21"/>
        </w:rPr>
        <w:t xml:space="preserve">5.2.1  </w:t>
      </w:r>
      <w:r>
        <w:rPr>
          <w:rFonts w:hint="eastAsia"/>
          <w:szCs w:val="21"/>
        </w:rPr>
        <w:t>承重支架、拱架基础承载力不足、无排水措施，被水浸泡。</w:t>
      </w:r>
    </w:p>
    <w:p>
      <w:pPr>
        <w:spacing w:line="400" w:lineRule="exact"/>
        <w:rPr>
          <w:b/>
          <w:szCs w:val="21"/>
        </w:rPr>
      </w:pPr>
      <w:r>
        <w:rPr>
          <w:rFonts w:hint="eastAsia"/>
          <w:b/>
          <w:szCs w:val="21"/>
        </w:rPr>
        <w:t xml:space="preserve">5.2.2  </w:t>
      </w:r>
      <w:r>
        <w:rPr>
          <w:rFonts w:hint="eastAsia"/>
          <w:szCs w:val="21"/>
        </w:rPr>
        <w:t>钢筋等材料集中堆放或</w:t>
      </w:r>
      <w:r>
        <w:rPr>
          <w:rFonts w:hint="eastAsia" w:ascii="宋体" w:hAnsi="宋体" w:cs="宋体"/>
          <w:bCs/>
          <w:szCs w:val="21"/>
        </w:rPr>
        <w:t>混凝土浇筑顺序未按方案规定进行</w:t>
      </w:r>
      <w:r>
        <w:rPr>
          <w:rFonts w:hint="eastAsia"/>
          <w:szCs w:val="21"/>
        </w:rPr>
        <w:t>，造成局部荷载大于设计值。</w:t>
      </w:r>
    </w:p>
    <w:p>
      <w:pPr>
        <w:spacing w:line="400" w:lineRule="exact"/>
        <w:rPr>
          <w:rFonts w:hint="eastAsia"/>
          <w:b/>
          <w:szCs w:val="21"/>
        </w:rPr>
      </w:pPr>
      <w:r>
        <w:rPr>
          <w:rFonts w:hint="eastAsia"/>
          <w:b/>
          <w:szCs w:val="21"/>
        </w:rPr>
        <w:t xml:space="preserve">5.2.3  </w:t>
      </w:r>
      <w:r>
        <w:rPr>
          <w:rFonts w:hint="eastAsia"/>
          <w:szCs w:val="21"/>
        </w:rPr>
        <w:t>模板支架拆除时，混凝土强度未达到设计、规范要求，或未按顺序拆除。</w:t>
      </w:r>
      <w:r>
        <w:rPr>
          <w:rFonts w:hint="eastAsia"/>
          <w:b/>
          <w:szCs w:val="21"/>
        </w:rPr>
        <w:t xml:space="preserve"> </w:t>
      </w:r>
    </w:p>
    <w:p>
      <w:pPr>
        <w:pStyle w:val="3"/>
        <w:spacing w:line="400" w:lineRule="exact"/>
        <w:rPr>
          <w:lang w:eastAsia="zh-CN"/>
        </w:rPr>
      </w:pPr>
      <w:bookmarkStart w:id="31" w:name="_Toc2703"/>
      <w:r>
        <w:rPr>
          <w:rFonts w:hint="eastAsia"/>
        </w:rPr>
        <w:t>5.</w:t>
      </w:r>
      <w:r>
        <w:rPr>
          <w:rFonts w:hint="eastAsia"/>
          <w:lang w:eastAsia="zh-CN"/>
        </w:rPr>
        <w:t>3</w:t>
      </w:r>
      <w:r>
        <w:rPr>
          <w:rFonts w:hint="eastAsia"/>
        </w:rPr>
        <w:t xml:space="preserve">  </w:t>
      </w:r>
      <w:r>
        <w:rPr>
          <w:rFonts w:hint="eastAsia"/>
          <w:lang w:val="en-US"/>
        </w:rPr>
        <w:t>高处作业</w:t>
      </w:r>
      <w:bookmarkEnd w:id="31"/>
    </w:p>
    <w:p>
      <w:pPr>
        <w:spacing w:line="400" w:lineRule="exact"/>
        <w:rPr>
          <w:b/>
          <w:szCs w:val="21"/>
        </w:rPr>
      </w:pPr>
      <w:r>
        <w:rPr>
          <w:rFonts w:hint="eastAsia"/>
          <w:b/>
          <w:szCs w:val="21"/>
        </w:rPr>
        <w:t xml:space="preserve">5.3.1  </w:t>
      </w:r>
      <w:r>
        <w:rPr>
          <w:rFonts w:hint="eastAsia"/>
          <w:szCs w:val="21"/>
        </w:rPr>
        <w:t>攀登、悬空作业无防护措施。</w:t>
      </w:r>
    </w:p>
    <w:p>
      <w:pPr>
        <w:spacing w:line="400" w:lineRule="exact"/>
        <w:rPr>
          <w:b/>
          <w:szCs w:val="21"/>
        </w:rPr>
      </w:pPr>
      <w:r>
        <w:rPr>
          <w:rFonts w:hint="eastAsia"/>
          <w:b/>
          <w:szCs w:val="21"/>
        </w:rPr>
        <w:t xml:space="preserve">5.3.2  </w:t>
      </w:r>
      <w:r>
        <w:rPr>
          <w:rFonts w:hint="eastAsia"/>
          <w:szCs w:val="21"/>
        </w:rPr>
        <w:t>高处临边作业，临空一侧未设置防护设施且作业人员未正确配带安全带。</w:t>
      </w:r>
    </w:p>
    <w:p>
      <w:pPr>
        <w:spacing w:line="400" w:lineRule="exact"/>
        <w:rPr>
          <w:b/>
          <w:szCs w:val="21"/>
        </w:rPr>
      </w:pPr>
      <w:r>
        <w:rPr>
          <w:rFonts w:hint="eastAsia"/>
          <w:b/>
          <w:szCs w:val="21"/>
        </w:rPr>
        <w:t xml:space="preserve">5.3.3  </w:t>
      </w:r>
      <w:r>
        <w:rPr>
          <w:rFonts w:hint="eastAsia"/>
          <w:szCs w:val="21"/>
        </w:rPr>
        <w:t>洞口短边边长大于或等于500</w:t>
      </w:r>
      <w:r>
        <w:rPr>
          <w:rFonts w:hint="eastAsia"/>
          <w:szCs w:val="21"/>
          <w:lang w:eastAsia="zh-CN"/>
        </w:rPr>
        <w:t>mm</w:t>
      </w:r>
      <w:r>
        <w:rPr>
          <w:rFonts w:hint="eastAsia"/>
          <w:szCs w:val="21"/>
        </w:rPr>
        <w:t>时，未采取有效防护措施。</w:t>
      </w:r>
    </w:p>
    <w:p>
      <w:pPr>
        <w:spacing w:line="400" w:lineRule="exact"/>
        <w:rPr>
          <w:b/>
          <w:szCs w:val="21"/>
        </w:rPr>
      </w:pPr>
      <w:r>
        <w:rPr>
          <w:rFonts w:hint="eastAsia"/>
          <w:b/>
          <w:szCs w:val="21"/>
        </w:rPr>
        <w:t xml:space="preserve">5.3.4  </w:t>
      </w:r>
      <w:r>
        <w:rPr>
          <w:rFonts w:hint="eastAsia"/>
          <w:szCs w:val="21"/>
        </w:rPr>
        <w:t>水平防护时，使用密目式安全立网代替平网。</w:t>
      </w:r>
    </w:p>
    <w:p>
      <w:pPr>
        <w:spacing w:line="400" w:lineRule="exact"/>
        <w:rPr>
          <w:b/>
          <w:szCs w:val="21"/>
        </w:rPr>
      </w:pPr>
      <w:r>
        <w:rPr>
          <w:rFonts w:hint="eastAsia"/>
          <w:b/>
          <w:szCs w:val="21"/>
        </w:rPr>
        <w:t xml:space="preserve">5.3.5  </w:t>
      </w:r>
      <w:r>
        <w:rPr>
          <w:rFonts w:hint="eastAsia"/>
          <w:szCs w:val="21"/>
        </w:rPr>
        <w:t>钢结构安装过程中，当利用钢梁作为水平通道时，未设置安全绳等防护设施。</w:t>
      </w:r>
    </w:p>
    <w:p>
      <w:pPr>
        <w:spacing w:line="400" w:lineRule="exact"/>
        <w:rPr>
          <w:rFonts w:hint="eastAsia"/>
          <w:b/>
          <w:szCs w:val="21"/>
        </w:rPr>
      </w:pPr>
      <w:r>
        <w:rPr>
          <w:rFonts w:hint="eastAsia"/>
          <w:b/>
          <w:szCs w:val="21"/>
        </w:rPr>
        <w:t xml:space="preserve">5.3.6  </w:t>
      </w:r>
      <w:r>
        <w:rPr>
          <w:rFonts w:hint="eastAsia"/>
          <w:szCs w:val="21"/>
        </w:rPr>
        <w:t>落地式操作平台未与建筑物进行刚性连接或未设防倾覆措施。</w:t>
      </w:r>
    </w:p>
    <w:p>
      <w:pPr>
        <w:pStyle w:val="3"/>
        <w:spacing w:line="400" w:lineRule="exact"/>
        <w:rPr>
          <w:lang w:eastAsia="zh-CN"/>
        </w:rPr>
      </w:pPr>
      <w:bookmarkStart w:id="32" w:name="_Toc10640"/>
      <w:r>
        <w:rPr>
          <w:rFonts w:hint="eastAsia"/>
        </w:rPr>
        <w:t>5.</w:t>
      </w:r>
      <w:r>
        <w:rPr>
          <w:rFonts w:hint="eastAsia"/>
          <w:lang w:eastAsia="zh-CN"/>
        </w:rPr>
        <w:t>4</w:t>
      </w:r>
      <w:r>
        <w:rPr>
          <w:rFonts w:hint="eastAsia"/>
        </w:rPr>
        <w:t xml:space="preserve">  </w:t>
      </w:r>
      <w:r>
        <w:rPr>
          <w:rFonts w:hint="eastAsia"/>
          <w:lang w:val="en-US"/>
        </w:rPr>
        <w:t>施工机械</w:t>
      </w:r>
      <w:r>
        <w:rPr>
          <w:rFonts w:hint="eastAsia"/>
          <w:lang w:val="en-US" w:eastAsia="zh-CN"/>
        </w:rPr>
        <w:t>及</w:t>
      </w:r>
      <w:r>
        <w:rPr>
          <w:rFonts w:hint="eastAsia"/>
          <w:lang w:val="en-US"/>
        </w:rPr>
        <w:t>起重吊装</w:t>
      </w:r>
      <w:bookmarkEnd w:id="32"/>
    </w:p>
    <w:p>
      <w:pPr>
        <w:spacing w:line="400" w:lineRule="exact"/>
        <w:rPr>
          <w:b/>
          <w:szCs w:val="21"/>
        </w:rPr>
      </w:pPr>
      <w:r>
        <w:rPr>
          <w:rFonts w:hint="eastAsia"/>
          <w:b/>
          <w:szCs w:val="21"/>
        </w:rPr>
        <w:t xml:space="preserve">5.4.1  </w:t>
      </w:r>
      <w:r>
        <w:rPr>
          <w:rFonts w:hint="eastAsia"/>
          <w:bCs/>
          <w:szCs w:val="21"/>
        </w:rPr>
        <w:t>桩机作业时，现场场地平整度、地基承载力和垂直度不满足说明书要求。</w:t>
      </w:r>
    </w:p>
    <w:p>
      <w:pPr>
        <w:spacing w:line="400" w:lineRule="exact"/>
        <w:rPr>
          <w:bCs/>
          <w:szCs w:val="21"/>
        </w:rPr>
      </w:pPr>
      <w:r>
        <w:rPr>
          <w:rFonts w:hint="eastAsia"/>
          <w:b/>
          <w:szCs w:val="21"/>
        </w:rPr>
        <w:t xml:space="preserve">5.4.2  </w:t>
      </w:r>
      <w:r>
        <w:rPr>
          <w:rFonts w:hint="eastAsia"/>
          <w:bCs/>
          <w:szCs w:val="21"/>
        </w:rPr>
        <w:t>使用混凝土输送泵车时，场地平整度、地基承载力和支腿伸出长度不满足说明书的要求。</w:t>
      </w:r>
    </w:p>
    <w:p>
      <w:pPr>
        <w:spacing w:line="400" w:lineRule="exact"/>
        <w:rPr>
          <w:b/>
          <w:szCs w:val="21"/>
        </w:rPr>
      </w:pPr>
      <w:r>
        <w:rPr>
          <w:rFonts w:hint="eastAsia"/>
          <w:b/>
          <w:szCs w:val="21"/>
        </w:rPr>
        <w:t xml:space="preserve">5.4.3  </w:t>
      </w:r>
      <w:r>
        <w:rPr>
          <w:rFonts w:hint="eastAsia"/>
          <w:bCs/>
          <w:szCs w:val="21"/>
        </w:rPr>
        <w:t>起重机械未经验收投入使用。</w:t>
      </w:r>
    </w:p>
    <w:p>
      <w:pPr>
        <w:spacing w:line="400" w:lineRule="exact"/>
        <w:rPr>
          <w:bCs/>
          <w:szCs w:val="21"/>
        </w:rPr>
      </w:pPr>
      <w:r>
        <w:rPr>
          <w:rFonts w:hint="eastAsia"/>
          <w:b/>
          <w:szCs w:val="21"/>
        </w:rPr>
        <w:t xml:space="preserve">5.4.4 </w:t>
      </w:r>
      <w:r>
        <w:rPr>
          <w:rFonts w:hint="eastAsia"/>
          <w:bCs/>
          <w:szCs w:val="21"/>
        </w:rPr>
        <w:t xml:space="preserve"> 在用起重机械超过使用年限未评估或评估不合格。</w:t>
      </w:r>
    </w:p>
    <w:p>
      <w:pPr>
        <w:spacing w:line="400" w:lineRule="exact"/>
        <w:rPr>
          <w:b/>
          <w:szCs w:val="21"/>
        </w:rPr>
      </w:pPr>
      <w:r>
        <w:rPr>
          <w:rFonts w:hint="eastAsia"/>
          <w:b/>
          <w:szCs w:val="21"/>
        </w:rPr>
        <w:t xml:space="preserve">5.4.5  </w:t>
      </w:r>
      <w:r>
        <w:rPr>
          <w:rFonts w:hint="eastAsia"/>
          <w:bCs/>
          <w:szCs w:val="21"/>
        </w:rPr>
        <w:t>起重机械安装、顶升、附着、拆卸未按规范、说明书和方案施工。</w:t>
      </w:r>
    </w:p>
    <w:p>
      <w:pPr>
        <w:spacing w:line="400" w:lineRule="exact"/>
        <w:rPr>
          <w:bCs/>
          <w:szCs w:val="21"/>
        </w:rPr>
      </w:pPr>
      <w:r>
        <w:rPr>
          <w:rFonts w:hint="eastAsia"/>
          <w:b/>
          <w:szCs w:val="21"/>
        </w:rPr>
        <w:t xml:space="preserve">5.4.6  </w:t>
      </w:r>
      <w:r>
        <w:rPr>
          <w:rFonts w:hint="eastAsia"/>
          <w:bCs/>
          <w:szCs w:val="21"/>
        </w:rPr>
        <w:t>大风、大雨、大雪、大雾等恶劣天气进行起重机械安拆或吊装作业。</w:t>
      </w:r>
    </w:p>
    <w:p>
      <w:pPr>
        <w:spacing w:line="400" w:lineRule="exact"/>
        <w:rPr>
          <w:bCs/>
          <w:szCs w:val="21"/>
        </w:rPr>
      </w:pPr>
      <w:r>
        <w:rPr>
          <w:rFonts w:hint="eastAsia"/>
          <w:b/>
          <w:szCs w:val="21"/>
        </w:rPr>
        <w:t xml:space="preserve">5.4.7  </w:t>
      </w:r>
      <w:r>
        <w:rPr>
          <w:rFonts w:hint="eastAsia"/>
          <w:bCs/>
          <w:szCs w:val="21"/>
        </w:rPr>
        <w:t>起重机械基础未按</w:t>
      </w:r>
      <w:r>
        <w:rPr>
          <w:rFonts w:hint="eastAsia"/>
          <w:bCs/>
          <w:szCs w:val="21"/>
          <w:lang w:val="en-US" w:eastAsia="zh-CN"/>
        </w:rPr>
        <w:t>现行国家</w:t>
      </w:r>
      <w:r>
        <w:rPr>
          <w:rFonts w:hint="eastAsia"/>
          <w:bCs/>
          <w:szCs w:val="21"/>
        </w:rPr>
        <w:t>标准和使用说明书要求进行设计和施工。</w:t>
      </w:r>
    </w:p>
    <w:p>
      <w:pPr>
        <w:spacing w:line="400" w:lineRule="exact"/>
        <w:rPr>
          <w:b/>
          <w:szCs w:val="21"/>
        </w:rPr>
      </w:pPr>
      <w:r>
        <w:rPr>
          <w:rFonts w:hint="eastAsia"/>
          <w:b/>
          <w:szCs w:val="21"/>
        </w:rPr>
        <w:t xml:space="preserve">5.4.8  </w:t>
      </w:r>
      <w:r>
        <w:rPr>
          <w:rFonts w:hint="eastAsia"/>
          <w:bCs/>
          <w:szCs w:val="21"/>
        </w:rPr>
        <w:t>起重机械安全保护装置缺失或失效。</w:t>
      </w:r>
    </w:p>
    <w:p>
      <w:pPr>
        <w:spacing w:line="400" w:lineRule="exact"/>
        <w:rPr>
          <w:b/>
          <w:szCs w:val="21"/>
        </w:rPr>
      </w:pPr>
      <w:r>
        <w:rPr>
          <w:rFonts w:hint="eastAsia"/>
          <w:b/>
          <w:szCs w:val="21"/>
        </w:rPr>
        <w:t xml:space="preserve">5.4.9  </w:t>
      </w:r>
      <w:r>
        <w:rPr>
          <w:rFonts w:hint="eastAsia"/>
          <w:bCs/>
          <w:szCs w:val="21"/>
        </w:rPr>
        <w:t>起重机械结构连接螺栓、连接销轴缺失或连接螺栓达不到规定扭力矩。</w:t>
      </w:r>
    </w:p>
    <w:p>
      <w:pPr>
        <w:spacing w:line="400" w:lineRule="exact"/>
        <w:rPr>
          <w:bCs/>
          <w:szCs w:val="21"/>
        </w:rPr>
      </w:pPr>
      <w:r>
        <w:rPr>
          <w:rFonts w:hint="eastAsia"/>
          <w:b/>
          <w:szCs w:val="21"/>
        </w:rPr>
        <w:t xml:space="preserve">5.4.10 </w:t>
      </w:r>
      <w:r>
        <w:rPr>
          <w:rFonts w:hint="eastAsia"/>
          <w:bCs/>
          <w:szCs w:val="21"/>
        </w:rPr>
        <w:t>门式起重机停用时，未使用夹轨器夹紧，无锚定装置或其他防风防滑装置。</w:t>
      </w:r>
    </w:p>
    <w:p>
      <w:pPr>
        <w:spacing w:line="400" w:lineRule="exact"/>
        <w:rPr>
          <w:bCs/>
          <w:szCs w:val="21"/>
        </w:rPr>
      </w:pPr>
      <w:r>
        <w:rPr>
          <w:rFonts w:hint="eastAsia"/>
          <w:b/>
          <w:szCs w:val="21"/>
        </w:rPr>
        <w:t xml:space="preserve">5.4.11 </w:t>
      </w:r>
      <w:r>
        <w:rPr>
          <w:rFonts w:hint="eastAsia"/>
          <w:bCs/>
          <w:szCs w:val="21"/>
        </w:rPr>
        <w:t>塔式起重机之间安全距离不符合规范要求。</w:t>
      </w:r>
    </w:p>
    <w:p>
      <w:pPr>
        <w:pStyle w:val="3"/>
        <w:spacing w:line="400" w:lineRule="exact"/>
        <w:rPr>
          <w:lang w:eastAsia="zh-CN"/>
        </w:rPr>
      </w:pPr>
      <w:bookmarkStart w:id="33" w:name="_Toc17935"/>
      <w:r>
        <w:rPr>
          <w:rFonts w:hint="eastAsia"/>
        </w:rPr>
        <w:t>5.</w:t>
      </w:r>
      <w:r>
        <w:rPr>
          <w:rFonts w:hint="eastAsia"/>
          <w:lang w:eastAsia="zh-CN"/>
        </w:rPr>
        <w:t>5</w:t>
      </w:r>
      <w:r>
        <w:rPr>
          <w:rFonts w:hint="eastAsia"/>
        </w:rPr>
        <w:t xml:space="preserve">  </w:t>
      </w:r>
      <w:r>
        <w:rPr>
          <w:rFonts w:hint="eastAsia"/>
          <w:lang w:val="en-US"/>
        </w:rPr>
        <w:t>有限空间作业</w:t>
      </w:r>
      <w:bookmarkEnd w:id="33"/>
    </w:p>
    <w:p>
      <w:pPr>
        <w:spacing w:line="400" w:lineRule="exact"/>
        <w:rPr>
          <w:b/>
          <w:szCs w:val="21"/>
        </w:rPr>
      </w:pPr>
      <w:r>
        <w:rPr>
          <w:rFonts w:hint="eastAsia"/>
          <w:b/>
          <w:szCs w:val="21"/>
        </w:rPr>
        <w:t xml:space="preserve">5.5.1  </w:t>
      </w:r>
      <w:r>
        <w:rPr>
          <w:rFonts w:hint="eastAsia"/>
          <w:bCs/>
          <w:szCs w:val="21"/>
        </w:rPr>
        <w:t>有限空间作业未履行作业审批制度，未对施工人员进行专项安全教育培训。</w:t>
      </w:r>
    </w:p>
    <w:p>
      <w:pPr>
        <w:spacing w:line="400" w:lineRule="exact"/>
        <w:rPr>
          <w:b/>
          <w:szCs w:val="21"/>
        </w:rPr>
      </w:pPr>
      <w:r>
        <w:rPr>
          <w:rFonts w:hint="eastAsia"/>
          <w:b/>
          <w:szCs w:val="21"/>
        </w:rPr>
        <w:t xml:space="preserve">5.5.2 </w:t>
      </w:r>
      <w:r>
        <w:rPr>
          <w:rFonts w:hint="eastAsia"/>
          <w:bCs/>
          <w:szCs w:val="21"/>
        </w:rPr>
        <w:t xml:space="preserve"> 有限空间作业未执行先通风、再检测、后作业原则。</w:t>
      </w:r>
    </w:p>
    <w:p>
      <w:pPr>
        <w:spacing w:line="400" w:lineRule="exact"/>
        <w:rPr>
          <w:rFonts w:hint="eastAsia"/>
          <w:b/>
          <w:szCs w:val="21"/>
        </w:rPr>
      </w:pPr>
      <w:r>
        <w:rPr>
          <w:rFonts w:hint="eastAsia"/>
          <w:b/>
          <w:szCs w:val="21"/>
        </w:rPr>
        <w:t xml:space="preserve">5.5.3 </w:t>
      </w:r>
      <w:r>
        <w:rPr>
          <w:rFonts w:hint="eastAsia"/>
          <w:bCs/>
          <w:szCs w:val="21"/>
        </w:rPr>
        <w:t xml:space="preserve"> 有限空间作业负责人及监护人员未履行安全职责，未落实应急措施。</w:t>
      </w:r>
    </w:p>
    <w:p>
      <w:pPr>
        <w:pStyle w:val="3"/>
        <w:spacing w:line="400" w:lineRule="exact"/>
        <w:rPr>
          <w:lang w:eastAsia="zh-CN"/>
        </w:rPr>
      </w:pPr>
      <w:bookmarkStart w:id="34" w:name="_Toc12416"/>
      <w:r>
        <w:rPr>
          <w:rFonts w:hint="eastAsia"/>
        </w:rPr>
        <w:t>5.</w:t>
      </w:r>
      <w:r>
        <w:rPr>
          <w:rFonts w:hint="eastAsia"/>
          <w:lang w:eastAsia="zh-CN"/>
        </w:rPr>
        <w:t>6</w:t>
      </w:r>
      <w:r>
        <w:rPr>
          <w:rFonts w:hint="eastAsia"/>
        </w:rPr>
        <w:t xml:space="preserve">  </w:t>
      </w:r>
      <w:r>
        <w:rPr>
          <w:rFonts w:hint="eastAsia"/>
          <w:lang w:val="en-US" w:eastAsia="zh-CN"/>
        </w:rPr>
        <w:t>临时用电</w:t>
      </w:r>
      <w:bookmarkEnd w:id="34"/>
    </w:p>
    <w:p>
      <w:pPr>
        <w:spacing w:line="400" w:lineRule="exact"/>
        <w:rPr>
          <w:b/>
          <w:szCs w:val="21"/>
        </w:rPr>
      </w:pPr>
      <w:r>
        <w:rPr>
          <w:rFonts w:hint="eastAsia"/>
          <w:b/>
          <w:szCs w:val="21"/>
        </w:rPr>
        <w:t xml:space="preserve">5.6.1  </w:t>
      </w:r>
      <w:r>
        <w:rPr>
          <w:rFonts w:hint="eastAsia"/>
          <w:bCs/>
          <w:szCs w:val="21"/>
        </w:rPr>
        <w:t>外电线路与在建工程及脚手架、机械设备、场内机动车道之间的安全距离不符合规范要求且未采取防护措施。</w:t>
      </w:r>
    </w:p>
    <w:p>
      <w:pPr>
        <w:spacing w:line="400" w:lineRule="exact"/>
        <w:rPr>
          <w:b/>
          <w:szCs w:val="21"/>
        </w:rPr>
      </w:pPr>
      <w:r>
        <w:rPr>
          <w:rFonts w:hint="eastAsia"/>
          <w:b/>
          <w:szCs w:val="21"/>
        </w:rPr>
        <w:t xml:space="preserve">5.6.2  </w:t>
      </w:r>
      <w:r>
        <w:rPr>
          <w:rFonts w:hint="eastAsia" w:ascii="宋体" w:hAnsi="宋体" w:cs="宋体"/>
          <w:bCs/>
          <w:szCs w:val="21"/>
        </w:rPr>
        <w:t>配电系统未采用三级配电逐级漏电保护系统，未采用TN-S接零保护系统，配电箱与开关箱漏电保护器参数不匹配。</w:t>
      </w:r>
    </w:p>
    <w:p>
      <w:pPr>
        <w:spacing w:line="400" w:lineRule="exact"/>
        <w:rPr>
          <w:b/>
          <w:szCs w:val="21"/>
        </w:rPr>
      </w:pPr>
      <w:r>
        <w:rPr>
          <w:rFonts w:hint="eastAsia"/>
          <w:b/>
          <w:szCs w:val="21"/>
        </w:rPr>
        <w:t xml:space="preserve">5.6.3  </w:t>
      </w:r>
      <w:r>
        <w:rPr>
          <w:rFonts w:hint="eastAsia"/>
          <w:bCs/>
          <w:szCs w:val="21"/>
        </w:rPr>
        <w:t>配电系统或电气设备调试、试运行时，未按操作规程和程序进行，未统一指挥、专人监护。</w:t>
      </w:r>
    </w:p>
    <w:p>
      <w:pPr>
        <w:spacing w:line="400" w:lineRule="exact"/>
        <w:rPr>
          <w:rFonts w:hint="eastAsia"/>
          <w:b/>
          <w:szCs w:val="21"/>
        </w:rPr>
      </w:pPr>
      <w:r>
        <w:rPr>
          <w:rFonts w:hint="eastAsia"/>
          <w:b/>
          <w:szCs w:val="21"/>
        </w:rPr>
        <w:t xml:space="preserve">5.6.4  </w:t>
      </w:r>
      <w:r>
        <w:rPr>
          <w:rFonts w:hint="eastAsia"/>
          <w:bCs/>
          <w:szCs w:val="21"/>
        </w:rPr>
        <w:t>特殊场所（隧道、人防工程、高温、有导电灰尘、比较潮湿等）照明未按规定使用安全电压。</w:t>
      </w:r>
    </w:p>
    <w:p>
      <w:pPr>
        <w:pStyle w:val="3"/>
        <w:spacing w:line="400" w:lineRule="exact"/>
        <w:rPr>
          <w:lang w:eastAsia="zh-CN"/>
        </w:rPr>
      </w:pPr>
      <w:bookmarkStart w:id="35" w:name="_Toc27665"/>
      <w:r>
        <w:rPr>
          <w:rFonts w:hint="eastAsia"/>
        </w:rPr>
        <w:t>5.</w:t>
      </w:r>
      <w:r>
        <w:rPr>
          <w:rFonts w:hint="eastAsia"/>
          <w:lang w:eastAsia="zh-CN"/>
        </w:rPr>
        <w:t>7</w:t>
      </w:r>
      <w:r>
        <w:rPr>
          <w:rFonts w:hint="eastAsia"/>
        </w:rPr>
        <w:t xml:space="preserve">  </w:t>
      </w:r>
      <w:r>
        <w:rPr>
          <w:rFonts w:hint="eastAsia"/>
          <w:lang w:val="en-US" w:eastAsia="zh-CN"/>
        </w:rPr>
        <w:t>消防安全</w:t>
      </w:r>
      <w:bookmarkEnd w:id="35"/>
    </w:p>
    <w:p>
      <w:pPr>
        <w:spacing w:line="400" w:lineRule="exact"/>
        <w:rPr>
          <w:b/>
          <w:szCs w:val="21"/>
        </w:rPr>
      </w:pPr>
      <w:r>
        <w:rPr>
          <w:rFonts w:hint="eastAsia"/>
          <w:b/>
          <w:szCs w:val="21"/>
        </w:rPr>
        <w:t xml:space="preserve">5.7.1  </w:t>
      </w:r>
      <w:r>
        <w:rPr>
          <w:rFonts w:hint="eastAsia"/>
          <w:bCs/>
          <w:szCs w:val="21"/>
        </w:rPr>
        <w:t>施工现场内未按规定设置临时消防车道、疏散通道、安全出口或以上设施被堵塞、占用。</w:t>
      </w:r>
    </w:p>
    <w:p>
      <w:pPr>
        <w:spacing w:line="400" w:lineRule="exact"/>
        <w:rPr>
          <w:b/>
          <w:szCs w:val="21"/>
        </w:rPr>
      </w:pPr>
      <w:r>
        <w:rPr>
          <w:rFonts w:hint="eastAsia"/>
          <w:b/>
          <w:szCs w:val="21"/>
        </w:rPr>
        <w:t xml:space="preserve">5.7.2  </w:t>
      </w:r>
      <w:r>
        <w:rPr>
          <w:rFonts w:hint="eastAsia"/>
          <w:bCs/>
          <w:szCs w:val="21"/>
        </w:rPr>
        <w:t>主要临时用房、临时设施的防火间距小于规定值。</w:t>
      </w:r>
    </w:p>
    <w:p>
      <w:pPr>
        <w:spacing w:line="400" w:lineRule="exact"/>
        <w:rPr>
          <w:b/>
          <w:szCs w:val="21"/>
        </w:rPr>
      </w:pPr>
      <w:r>
        <w:rPr>
          <w:rFonts w:hint="eastAsia"/>
          <w:b/>
          <w:szCs w:val="21"/>
        </w:rPr>
        <w:t xml:space="preserve">5.7.3  </w:t>
      </w:r>
      <w:r>
        <w:rPr>
          <w:rFonts w:hint="eastAsia"/>
          <w:bCs/>
          <w:szCs w:val="21"/>
        </w:rPr>
        <w:t>在建工程外保温等材料的燃烧性能等级不符合规范或设计要求。</w:t>
      </w:r>
    </w:p>
    <w:p>
      <w:pPr>
        <w:spacing w:line="400" w:lineRule="exact"/>
        <w:rPr>
          <w:bCs/>
          <w:szCs w:val="21"/>
        </w:rPr>
      </w:pPr>
      <w:r>
        <w:rPr>
          <w:rFonts w:hint="eastAsia"/>
          <w:b/>
          <w:szCs w:val="21"/>
        </w:rPr>
        <w:t xml:space="preserve">5.7.4  </w:t>
      </w:r>
      <w:r>
        <w:rPr>
          <w:rFonts w:hint="eastAsia"/>
          <w:bCs/>
          <w:szCs w:val="21"/>
        </w:rPr>
        <w:t>室内使用油漆及其有机溶剂、乙二胺、冷底子油等易挥发产生易燃气体作业时，未保持良好通风。</w:t>
      </w:r>
    </w:p>
    <w:p>
      <w:pPr>
        <w:spacing w:line="400" w:lineRule="exact"/>
        <w:rPr>
          <w:b/>
          <w:szCs w:val="21"/>
        </w:rPr>
      </w:pPr>
      <w:r>
        <w:rPr>
          <w:rFonts w:hint="eastAsia"/>
          <w:b/>
          <w:szCs w:val="21"/>
        </w:rPr>
        <w:t xml:space="preserve">5.7.5  </w:t>
      </w:r>
      <w:r>
        <w:rPr>
          <w:rFonts w:hint="eastAsia"/>
          <w:bCs/>
          <w:szCs w:val="21"/>
        </w:rPr>
        <w:t>施工现场未建立实施动火审批制度或现场动火部位未设置动火监护人、未清理动火作业现场可燃物、未配备消防器材。</w:t>
      </w:r>
    </w:p>
    <w:p>
      <w:pPr>
        <w:spacing w:line="400" w:lineRule="exact"/>
        <w:rPr>
          <w:bCs/>
          <w:szCs w:val="21"/>
        </w:rPr>
      </w:pPr>
      <w:r>
        <w:rPr>
          <w:rFonts w:hint="eastAsia"/>
          <w:b/>
          <w:szCs w:val="21"/>
        </w:rPr>
        <w:t xml:space="preserve">5.7.6  </w:t>
      </w:r>
      <w:r>
        <w:rPr>
          <w:rFonts w:hint="eastAsia"/>
          <w:bCs/>
          <w:szCs w:val="21"/>
        </w:rPr>
        <w:t>在具有火灾、爆炸危险的场所使用明火；冬季施工时使用明火进行升温保温；在宿舍内使用明火取暖、做饭。</w:t>
      </w:r>
    </w:p>
    <w:p>
      <w:pPr>
        <w:spacing w:line="400" w:lineRule="exact"/>
        <w:rPr>
          <w:b/>
          <w:szCs w:val="21"/>
        </w:rPr>
      </w:pPr>
      <w:r>
        <w:rPr>
          <w:rFonts w:hint="eastAsia"/>
          <w:b/>
          <w:szCs w:val="21"/>
        </w:rPr>
        <w:t xml:space="preserve">5.7.7  </w:t>
      </w:r>
      <w:r>
        <w:rPr>
          <w:rFonts w:hint="eastAsia"/>
          <w:bCs/>
          <w:szCs w:val="21"/>
        </w:rPr>
        <w:t>施工区域及室内违规存放电动自行车或违规充电。</w:t>
      </w:r>
    </w:p>
    <w:p>
      <w:pPr>
        <w:spacing w:line="400" w:lineRule="exact"/>
        <w:rPr>
          <w:rFonts w:hint="eastAsia"/>
          <w:b/>
          <w:szCs w:val="21"/>
        </w:rPr>
      </w:pPr>
      <w:r>
        <w:rPr>
          <w:rFonts w:hint="eastAsia"/>
          <w:b/>
          <w:szCs w:val="21"/>
        </w:rPr>
        <w:t xml:space="preserve">5.7.8  </w:t>
      </w:r>
      <w:r>
        <w:rPr>
          <w:rFonts w:hint="eastAsia"/>
          <w:bCs/>
          <w:szCs w:val="21"/>
        </w:rPr>
        <w:t>采用不符合消防规定的供配电线缆，或在可燃材料、可燃构件上直接敷设电气线路、安装电气设备。</w:t>
      </w:r>
    </w:p>
    <w:p>
      <w:pPr>
        <w:pStyle w:val="3"/>
        <w:spacing w:line="400" w:lineRule="exact"/>
        <w:rPr>
          <w:lang w:eastAsia="zh-CN"/>
        </w:rPr>
      </w:pPr>
      <w:bookmarkStart w:id="36" w:name="_Toc22691"/>
      <w:r>
        <w:rPr>
          <w:rFonts w:hint="eastAsia"/>
        </w:rPr>
        <w:t>5.</w:t>
      </w:r>
      <w:r>
        <w:rPr>
          <w:rFonts w:hint="eastAsia"/>
          <w:lang w:eastAsia="zh-CN"/>
        </w:rPr>
        <w:t>8</w:t>
      </w:r>
      <w:r>
        <w:rPr>
          <w:rFonts w:hint="eastAsia"/>
        </w:rPr>
        <w:t xml:space="preserve">  </w:t>
      </w:r>
      <w:r>
        <w:rPr>
          <w:rFonts w:hint="eastAsia"/>
          <w:lang w:val="en-US" w:eastAsia="zh-CN"/>
        </w:rPr>
        <w:t>桥梁工程</w:t>
      </w:r>
      <w:bookmarkEnd w:id="36"/>
    </w:p>
    <w:p>
      <w:pPr>
        <w:spacing w:line="400" w:lineRule="exact"/>
        <w:rPr>
          <w:b/>
          <w:szCs w:val="21"/>
        </w:rPr>
      </w:pPr>
      <w:r>
        <w:rPr>
          <w:rFonts w:hint="eastAsia"/>
          <w:b/>
          <w:szCs w:val="21"/>
        </w:rPr>
        <w:t>5.8.1</w:t>
      </w:r>
      <w:r>
        <w:rPr>
          <w:rFonts w:hint="eastAsia"/>
          <w:bCs/>
          <w:szCs w:val="21"/>
        </w:rPr>
        <w:t>桩基施工</w:t>
      </w:r>
    </w:p>
    <w:p>
      <w:pPr>
        <w:spacing w:line="400" w:lineRule="exact"/>
        <w:ind w:firstLine="424" w:firstLineChars="201"/>
        <w:rPr>
          <w:rFonts w:ascii="宋体" w:hAnsi="宋体"/>
          <w:sz w:val="28"/>
          <w:szCs w:val="28"/>
        </w:rPr>
      </w:pPr>
      <w:r>
        <w:rPr>
          <w:b/>
          <w:bCs/>
          <w:szCs w:val="21"/>
        </w:rPr>
        <w:t>1</w:t>
      </w:r>
      <w:r>
        <w:rPr>
          <w:rFonts w:hint="eastAsia"/>
          <w:b/>
          <w:bCs/>
          <w:szCs w:val="21"/>
        </w:rPr>
        <w:t xml:space="preserve">  </w:t>
      </w:r>
      <w:r>
        <w:rPr>
          <w:rFonts w:hint="eastAsia" w:ascii="宋体" w:hAnsi="宋体"/>
          <w:szCs w:val="21"/>
        </w:rPr>
        <w:t>泥浆池设置无施工方案；地面砌筑泥浆池池壁无强度验算；临边无防护措施。</w:t>
      </w:r>
    </w:p>
    <w:p>
      <w:pPr>
        <w:spacing w:line="400" w:lineRule="exact"/>
        <w:ind w:firstLine="424" w:firstLineChars="201"/>
        <w:jc w:val="left"/>
        <w:rPr>
          <w:b/>
          <w:bCs/>
          <w:szCs w:val="21"/>
        </w:rPr>
      </w:pPr>
      <w:r>
        <w:rPr>
          <w:rFonts w:hint="eastAsia"/>
          <w:b/>
          <w:bCs/>
          <w:szCs w:val="21"/>
        </w:rPr>
        <w:t xml:space="preserve">2  </w:t>
      </w:r>
      <w:r>
        <w:rPr>
          <w:rFonts w:hint="eastAsia" w:ascii="宋体" w:hAnsi="宋体" w:cs="宋体"/>
          <w:szCs w:val="21"/>
        </w:rPr>
        <w:t>人工挖孔每层挖土深度大于</w:t>
      </w:r>
      <w:r>
        <w:rPr>
          <w:szCs w:val="21"/>
        </w:rPr>
        <w:t>100</w:t>
      </w:r>
      <w:r>
        <w:rPr>
          <w:rFonts w:hint="eastAsia"/>
          <w:szCs w:val="21"/>
          <w:lang w:eastAsia="zh-CN"/>
        </w:rPr>
        <w:t>0mm</w:t>
      </w:r>
      <w:r>
        <w:rPr>
          <w:rFonts w:hint="eastAsia" w:ascii="宋体" w:hAnsi="宋体" w:cs="宋体"/>
          <w:szCs w:val="21"/>
        </w:rPr>
        <w:t>，或松软土质挖土深度大于</w:t>
      </w:r>
      <w:r>
        <w:rPr>
          <w:szCs w:val="21"/>
        </w:rPr>
        <w:t>50</w:t>
      </w:r>
      <w:r>
        <w:rPr>
          <w:rFonts w:hint="eastAsia"/>
          <w:szCs w:val="21"/>
          <w:lang w:eastAsia="zh-CN"/>
        </w:rPr>
        <w:t>0mm</w:t>
      </w:r>
      <w:r>
        <w:rPr>
          <w:rFonts w:hint="eastAsia" w:ascii="宋体" w:hAnsi="宋体" w:cs="宋体"/>
          <w:szCs w:val="21"/>
        </w:rPr>
        <w:t>，</w:t>
      </w:r>
      <w:r>
        <w:rPr>
          <w:rFonts w:hint="eastAsia" w:ascii="宋体" w:hAnsi="宋体" w:cs="宋体"/>
          <w:bCs/>
          <w:szCs w:val="21"/>
        </w:rPr>
        <w:t>护壁未随土方开挖逐层实施，</w:t>
      </w:r>
      <w:r>
        <w:rPr>
          <w:rFonts w:hint="eastAsia" w:ascii="宋体" w:hAnsi="宋体" w:cs="宋体"/>
          <w:szCs w:val="21"/>
        </w:rPr>
        <w:t>或护壁强度未达到</w:t>
      </w:r>
      <w:r>
        <w:rPr>
          <w:szCs w:val="21"/>
        </w:rPr>
        <w:t>5</w:t>
      </w:r>
      <w:r>
        <w:rPr>
          <w:rFonts w:hint="eastAsia"/>
          <w:szCs w:val="21"/>
          <w:lang w:val="en-US" w:eastAsia="zh-CN"/>
        </w:rPr>
        <w:t>M</w:t>
      </w:r>
      <w:r>
        <w:rPr>
          <w:szCs w:val="21"/>
        </w:rPr>
        <w:t>Pa</w:t>
      </w:r>
      <w:r>
        <w:rPr>
          <w:rFonts w:hint="eastAsia" w:ascii="宋体" w:hAnsi="宋体" w:cs="宋体"/>
          <w:szCs w:val="21"/>
        </w:rPr>
        <w:t>即开挖下层土方。</w:t>
      </w:r>
    </w:p>
    <w:p>
      <w:pPr>
        <w:spacing w:line="400" w:lineRule="exact"/>
        <w:ind w:firstLine="424" w:firstLineChars="201"/>
        <w:rPr>
          <w:b/>
          <w:bCs/>
          <w:szCs w:val="21"/>
        </w:rPr>
      </w:pPr>
      <w:r>
        <w:rPr>
          <w:rFonts w:hint="eastAsia"/>
          <w:b/>
          <w:bCs/>
          <w:szCs w:val="21"/>
        </w:rPr>
        <w:t xml:space="preserve">3  </w:t>
      </w:r>
      <w:r>
        <w:rPr>
          <w:rFonts w:hint="eastAsia" w:ascii="宋体" w:hAnsi="宋体" w:cs="宋体"/>
          <w:szCs w:val="21"/>
        </w:rPr>
        <w:t>人工挖孔同时施工的两桩净距小于</w:t>
      </w:r>
      <w:r>
        <w:rPr>
          <w:szCs w:val="21"/>
        </w:rPr>
        <w:t>5</w:t>
      </w:r>
      <w:r>
        <w:rPr>
          <w:rFonts w:hint="eastAsia"/>
          <w:szCs w:val="21"/>
          <w:lang w:eastAsia="zh-CN"/>
        </w:rPr>
        <w:t>m</w:t>
      </w:r>
      <w:r>
        <w:rPr>
          <w:rFonts w:hint="eastAsia" w:ascii="宋体" w:hAnsi="宋体" w:cs="宋体"/>
          <w:szCs w:val="21"/>
        </w:rPr>
        <w:t>。</w:t>
      </w:r>
    </w:p>
    <w:p>
      <w:pPr>
        <w:spacing w:line="400" w:lineRule="exact"/>
        <w:rPr>
          <w:b/>
          <w:szCs w:val="21"/>
        </w:rPr>
      </w:pPr>
      <w:r>
        <w:rPr>
          <w:rFonts w:hint="eastAsia"/>
          <w:b/>
          <w:szCs w:val="21"/>
        </w:rPr>
        <w:t>5.8.2</w:t>
      </w:r>
      <w:r>
        <w:rPr>
          <w:rFonts w:hint="eastAsia"/>
          <w:bCs/>
          <w:szCs w:val="21"/>
        </w:rPr>
        <w:t>墩台、墩柱、盖梁施工</w:t>
      </w:r>
    </w:p>
    <w:p>
      <w:pPr>
        <w:spacing w:line="400" w:lineRule="exact"/>
        <w:ind w:firstLine="424" w:firstLineChars="201"/>
        <w:rPr>
          <w:b/>
          <w:bCs/>
          <w:szCs w:val="21"/>
        </w:rPr>
      </w:pPr>
      <w:r>
        <w:rPr>
          <w:rFonts w:hint="eastAsia"/>
          <w:b/>
          <w:bCs/>
          <w:szCs w:val="21"/>
        </w:rPr>
        <w:t>1　</w:t>
      </w:r>
      <w:r>
        <w:rPr>
          <w:rFonts w:hint="eastAsia"/>
          <w:szCs w:val="21"/>
        </w:rPr>
        <w:t>河道施工无行洪围堰专项施工方案，或未按方案实施。</w:t>
      </w:r>
    </w:p>
    <w:p>
      <w:pPr>
        <w:spacing w:line="400" w:lineRule="exact"/>
        <w:ind w:firstLine="424" w:firstLineChars="201"/>
        <w:rPr>
          <w:b/>
          <w:bCs/>
          <w:szCs w:val="21"/>
        </w:rPr>
      </w:pPr>
      <w:r>
        <w:rPr>
          <w:rFonts w:hint="eastAsia"/>
          <w:b/>
          <w:bCs/>
          <w:szCs w:val="21"/>
        </w:rPr>
        <w:t xml:space="preserve">2  </w:t>
      </w:r>
      <w:r>
        <w:rPr>
          <w:rFonts w:hint="eastAsia" w:ascii="宋体" w:hAnsi="宋体" w:cs="宋体"/>
          <w:szCs w:val="21"/>
        </w:rPr>
        <w:t>高度大于</w:t>
      </w:r>
      <w:r>
        <w:rPr>
          <w:szCs w:val="21"/>
        </w:rPr>
        <w:t>10</w:t>
      </w:r>
      <w:r>
        <w:rPr>
          <w:rFonts w:hint="eastAsia"/>
          <w:szCs w:val="21"/>
          <w:lang w:eastAsia="zh-CN"/>
        </w:rPr>
        <w:t>m</w:t>
      </w:r>
      <w:r>
        <w:rPr>
          <w:rFonts w:hint="eastAsia" w:ascii="宋体" w:hAnsi="宋体" w:cs="宋体"/>
          <w:szCs w:val="21"/>
        </w:rPr>
        <w:t>且无法与结构拉结的脚手架，未按规定设置缆风绳。</w:t>
      </w:r>
    </w:p>
    <w:p>
      <w:pPr>
        <w:spacing w:line="400" w:lineRule="exact"/>
        <w:ind w:firstLine="424" w:firstLineChars="201"/>
        <w:rPr>
          <w:b/>
          <w:bCs/>
          <w:szCs w:val="21"/>
        </w:rPr>
      </w:pPr>
      <w:r>
        <w:rPr>
          <w:rFonts w:hint="eastAsia"/>
          <w:b/>
          <w:bCs/>
          <w:szCs w:val="21"/>
        </w:rPr>
        <w:t xml:space="preserve">3  </w:t>
      </w:r>
      <w:r>
        <w:rPr>
          <w:rFonts w:hint="eastAsia"/>
          <w:szCs w:val="21"/>
        </w:rPr>
        <w:t>支座未按说明书安装，或支座方向安装错误。</w:t>
      </w:r>
    </w:p>
    <w:p>
      <w:pPr>
        <w:spacing w:line="400" w:lineRule="exact"/>
        <w:rPr>
          <w:b/>
          <w:szCs w:val="21"/>
        </w:rPr>
      </w:pPr>
      <w:r>
        <w:rPr>
          <w:rFonts w:hint="eastAsia"/>
          <w:b/>
          <w:szCs w:val="21"/>
        </w:rPr>
        <w:t>5.8.</w:t>
      </w:r>
      <w:r>
        <w:rPr>
          <w:rFonts w:hint="eastAsia"/>
          <w:b/>
          <w:szCs w:val="21"/>
          <w:lang w:val="en-US" w:eastAsia="zh-CN"/>
        </w:rPr>
        <w:t>3</w:t>
      </w:r>
      <w:r>
        <w:rPr>
          <w:rFonts w:hint="eastAsia"/>
          <w:b/>
          <w:szCs w:val="21"/>
        </w:rPr>
        <w:t xml:space="preserve"> </w:t>
      </w:r>
      <w:r>
        <w:rPr>
          <w:rFonts w:hint="eastAsia"/>
          <w:bCs/>
          <w:szCs w:val="21"/>
        </w:rPr>
        <w:t>预制混凝土梁桥、钢梁桥</w:t>
      </w:r>
    </w:p>
    <w:p>
      <w:pPr>
        <w:spacing w:line="400" w:lineRule="exact"/>
        <w:ind w:firstLine="424" w:firstLineChars="201"/>
        <w:jc w:val="left"/>
        <w:rPr>
          <w:szCs w:val="21"/>
        </w:rPr>
      </w:pPr>
      <w:r>
        <w:rPr>
          <w:rFonts w:hint="eastAsia"/>
          <w:b/>
          <w:bCs/>
          <w:szCs w:val="21"/>
        </w:rPr>
        <w:t>1</w:t>
      </w:r>
      <w:r>
        <w:rPr>
          <w:rFonts w:hint="eastAsia"/>
          <w:szCs w:val="21"/>
        </w:rPr>
        <w:t>　悬拼法施工架设梁，构件未全部安装完毕时，将墩顶现浇段与桥墩之间临时锚固或临时支承拆除。</w:t>
      </w:r>
    </w:p>
    <w:p>
      <w:pPr>
        <w:spacing w:line="400" w:lineRule="exact"/>
        <w:ind w:firstLine="424" w:firstLineChars="201"/>
        <w:rPr>
          <w:szCs w:val="21"/>
        </w:rPr>
      </w:pPr>
      <w:r>
        <w:rPr>
          <w:rFonts w:hint="eastAsia"/>
          <w:b/>
          <w:bCs/>
          <w:szCs w:val="21"/>
        </w:rPr>
        <w:t>2</w:t>
      </w:r>
      <w:r>
        <w:rPr>
          <w:rFonts w:hint="eastAsia"/>
          <w:szCs w:val="21"/>
        </w:rPr>
        <w:t>　悬拼法施工桥墩两侧悬拼进度不一致，不平衡偏差超出设计规定。</w:t>
      </w:r>
    </w:p>
    <w:p>
      <w:pPr>
        <w:spacing w:line="400" w:lineRule="exact"/>
        <w:ind w:firstLine="424" w:firstLineChars="201"/>
        <w:rPr>
          <w:szCs w:val="21"/>
        </w:rPr>
      </w:pPr>
      <w:r>
        <w:rPr>
          <w:rFonts w:hint="eastAsia"/>
          <w:b/>
          <w:bCs/>
          <w:szCs w:val="21"/>
        </w:rPr>
        <w:t>3</w:t>
      </w:r>
      <w:r>
        <w:rPr>
          <w:rFonts w:hint="eastAsia"/>
          <w:szCs w:val="21"/>
        </w:rPr>
        <w:t>　顶推法施工两侧顶推时，左右不同步，或多点顶推时千斤顶纵横向不同步。</w:t>
      </w:r>
    </w:p>
    <w:p>
      <w:pPr>
        <w:spacing w:line="400" w:lineRule="exact"/>
        <w:ind w:firstLine="424" w:firstLineChars="201"/>
        <w:rPr>
          <w:szCs w:val="21"/>
        </w:rPr>
      </w:pPr>
      <w:r>
        <w:rPr>
          <w:rFonts w:hint="eastAsia"/>
          <w:b/>
          <w:bCs/>
          <w:szCs w:val="21"/>
        </w:rPr>
        <w:t>4</w:t>
      </w:r>
      <w:r>
        <w:rPr>
          <w:rFonts w:hint="eastAsia"/>
          <w:szCs w:val="21"/>
        </w:rPr>
        <w:t>　顶推法施工过程中未对导向、纠偏等进行监控。</w:t>
      </w:r>
    </w:p>
    <w:p>
      <w:pPr>
        <w:spacing w:line="400" w:lineRule="exact"/>
        <w:ind w:firstLine="424" w:firstLineChars="201"/>
        <w:jc w:val="left"/>
        <w:rPr>
          <w:b/>
          <w:bCs/>
          <w:szCs w:val="21"/>
        </w:rPr>
      </w:pPr>
      <w:r>
        <w:rPr>
          <w:rFonts w:hint="eastAsia"/>
          <w:b/>
          <w:bCs/>
          <w:szCs w:val="21"/>
        </w:rPr>
        <w:t>5　</w:t>
      </w:r>
      <w:r>
        <w:rPr>
          <w:rFonts w:hint="eastAsia"/>
          <w:szCs w:val="21"/>
        </w:rPr>
        <w:t>架桥机的限制运动行程和工作位置的装置、防风和防滑移装置、连锁保护装置和紧急停车开关等安全防护装置缺失或失效。</w:t>
      </w:r>
    </w:p>
    <w:p>
      <w:pPr>
        <w:spacing w:line="400" w:lineRule="exact"/>
        <w:ind w:firstLine="424" w:firstLineChars="201"/>
        <w:rPr>
          <w:szCs w:val="21"/>
        </w:rPr>
      </w:pPr>
      <w:r>
        <w:rPr>
          <w:rFonts w:hint="eastAsia"/>
          <w:b/>
          <w:bCs/>
          <w:szCs w:val="21"/>
        </w:rPr>
        <w:t>6</w:t>
      </w:r>
      <w:r>
        <w:rPr>
          <w:rFonts w:hint="eastAsia"/>
          <w:szCs w:val="21"/>
        </w:rPr>
        <w:t>　架桥机过孔状态下未对非运动支腿进行锚固。架梁状态下，主梁与支腿间未固定连接。</w:t>
      </w:r>
    </w:p>
    <w:p>
      <w:pPr>
        <w:spacing w:line="400" w:lineRule="exact"/>
        <w:ind w:firstLine="424" w:firstLineChars="201"/>
        <w:rPr>
          <w:szCs w:val="21"/>
        </w:rPr>
      </w:pPr>
      <w:r>
        <w:rPr>
          <w:rFonts w:hint="eastAsia"/>
          <w:b/>
          <w:bCs/>
          <w:szCs w:val="21"/>
        </w:rPr>
        <w:t>7</w:t>
      </w:r>
      <w:r>
        <w:rPr>
          <w:rFonts w:hint="eastAsia"/>
          <w:szCs w:val="21"/>
        </w:rPr>
        <w:t>　</w:t>
      </w:r>
      <w:r>
        <w:rPr>
          <w:rFonts w:hint="eastAsia" w:ascii="宋体" w:hAnsi="宋体" w:cs="宋体"/>
          <w:szCs w:val="21"/>
        </w:rPr>
        <w:t>架桥机安装完成后，未按照现行国家标准《起重机试验规范和程序》（</w:t>
      </w:r>
      <w:r>
        <w:rPr>
          <w:szCs w:val="21"/>
        </w:rPr>
        <w:t>GB5905</w:t>
      </w:r>
      <w:r>
        <w:rPr>
          <w:rFonts w:hint="eastAsia" w:ascii="宋体" w:hAnsi="宋体" w:cs="宋体"/>
          <w:szCs w:val="21"/>
        </w:rPr>
        <w:t>）进行载荷试验。</w:t>
      </w:r>
    </w:p>
    <w:p>
      <w:pPr>
        <w:spacing w:line="400" w:lineRule="exact"/>
        <w:ind w:firstLine="424" w:firstLineChars="201"/>
        <w:rPr>
          <w:szCs w:val="21"/>
        </w:rPr>
      </w:pPr>
      <w:r>
        <w:rPr>
          <w:rFonts w:hint="eastAsia"/>
          <w:b/>
          <w:bCs/>
          <w:szCs w:val="21"/>
        </w:rPr>
        <w:t>8</w:t>
      </w:r>
      <w:r>
        <w:rPr>
          <w:rFonts w:hint="eastAsia"/>
          <w:szCs w:val="21"/>
        </w:rPr>
        <w:t>　</w:t>
      </w:r>
      <w:r>
        <w:rPr>
          <w:rFonts w:hint="eastAsia" w:ascii="宋体" w:hAnsi="宋体" w:cs="宋体"/>
          <w:szCs w:val="21"/>
        </w:rPr>
        <w:t>施工现场风力超过6级时未停止架桥机架梁作业，风力超过10级时未将架桥机可靠锚定。</w:t>
      </w:r>
    </w:p>
    <w:p>
      <w:pPr>
        <w:spacing w:line="400" w:lineRule="exact"/>
        <w:rPr>
          <w:b/>
          <w:szCs w:val="21"/>
        </w:rPr>
      </w:pPr>
      <w:r>
        <w:rPr>
          <w:rFonts w:hint="eastAsia"/>
          <w:b/>
          <w:szCs w:val="21"/>
        </w:rPr>
        <w:t>5.8.</w:t>
      </w:r>
      <w:r>
        <w:rPr>
          <w:rFonts w:hint="eastAsia"/>
          <w:b/>
          <w:szCs w:val="21"/>
          <w:lang w:val="en-US" w:eastAsia="zh-CN"/>
        </w:rPr>
        <w:t>4</w:t>
      </w:r>
      <w:r>
        <w:rPr>
          <w:rFonts w:hint="eastAsia"/>
          <w:bCs/>
          <w:szCs w:val="21"/>
        </w:rPr>
        <w:t>现浇混凝土梁桥</w:t>
      </w:r>
    </w:p>
    <w:p>
      <w:pPr>
        <w:spacing w:line="400" w:lineRule="exact"/>
        <w:ind w:firstLine="424" w:firstLineChars="201"/>
        <w:jc w:val="left"/>
        <w:rPr>
          <w:rFonts w:ascii="宋体" w:hAnsi="宋体" w:cs="宋体"/>
          <w:szCs w:val="21"/>
        </w:rPr>
      </w:pPr>
      <w:r>
        <w:rPr>
          <w:b/>
          <w:bCs/>
          <w:szCs w:val="21"/>
        </w:rPr>
        <w:t>1</w:t>
      </w:r>
      <w:r>
        <w:rPr>
          <w:rFonts w:hint="eastAsia" w:ascii="宋体" w:hAnsi="宋体" w:cs="宋体"/>
          <w:szCs w:val="21"/>
        </w:rPr>
        <w:t>　悬臂施工挂篮制作加工完成后未做试拼装，现场组拼后，未按最大施工组合荷载的</w:t>
      </w:r>
      <w:r>
        <w:rPr>
          <w:szCs w:val="21"/>
        </w:rPr>
        <w:t>1.2</w:t>
      </w:r>
      <w:r>
        <w:rPr>
          <w:rFonts w:hint="eastAsia" w:ascii="宋体" w:hAnsi="宋体" w:cs="宋体"/>
          <w:szCs w:val="21"/>
        </w:rPr>
        <w:t>倍做荷载试验。</w:t>
      </w:r>
    </w:p>
    <w:p>
      <w:pPr>
        <w:spacing w:line="400" w:lineRule="exact"/>
        <w:ind w:left="424" w:leftChars="202"/>
        <w:rPr>
          <w:szCs w:val="21"/>
        </w:rPr>
      </w:pPr>
      <w:r>
        <w:rPr>
          <w:rFonts w:hint="eastAsia"/>
          <w:b/>
          <w:bCs/>
          <w:szCs w:val="21"/>
        </w:rPr>
        <w:t>2</w:t>
      </w:r>
      <w:r>
        <w:rPr>
          <w:rFonts w:hint="eastAsia"/>
          <w:szCs w:val="21"/>
        </w:rPr>
        <w:t>　悬臂施工浇筑墩顶段（0#段）混凝土前，未对托架、模板进行检验和预压。</w:t>
      </w:r>
    </w:p>
    <w:p>
      <w:pPr>
        <w:spacing w:line="400" w:lineRule="exact"/>
        <w:ind w:left="424" w:leftChars="202"/>
        <w:rPr>
          <w:szCs w:val="21"/>
        </w:rPr>
      </w:pPr>
      <w:r>
        <w:rPr>
          <w:rFonts w:hint="eastAsia"/>
          <w:b/>
          <w:bCs/>
          <w:szCs w:val="21"/>
        </w:rPr>
        <w:t>3　</w:t>
      </w:r>
      <w:r>
        <w:rPr>
          <w:rFonts w:hint="eastAsia"/>
          <w:szCs w:val="21"/>
        </w:rPr>
        <w:t>悬臂施工桥墩两侧梁段进度不对称，不平衡。</w:t>
      </w:r>
    </w:p>
    <w:p>
      <w:pPr>
        <w:spacing w:line="400" w:lineRule="exact"/>
        <w:ind w:left="424" w:leftChars="202"/>
        <w:rPr>
          <w:rFonts w:ascii="宋体" w:hAnsi="宋体"/>
          <w:sz w:val="28"/>
          <w:szCs w:val="28"/>
        </w:rPr>
      </w:pPr>
      <w:r>
        <w:rPr>
          <w:rFonts w:hint="eastAsia"/>
          <w:b/>
          <w:bCs/>
          <w:szCs w:val="21"/>
        </w:rPr>
        <w:t>4　</w:t>
      </w:r>
      <w:r>
        <w:rPr>
          <w:rFonts w:hint="eastAsia"/>
          <w:szCs w:val="21"/>
        </w:rPr>
        <w:t>移动挂篮时风力超过设计允许的挂篮移动风力。</w:t>
      </w:r>
    </w:p>
    <w:p>
      <w:pPr>
        <w:spacing w:line="400" w:lineRule="exact"/>
        <w:rPr>
          <w:rFonts w:ascii="宋体" w:hAnsi="宋体"/>
          <w:sz w:val="28"/>
          <w:szCs w:val="28"/>
        </w:rPr>
      </w:pPr>
      <w:r>
        <w:rPr>
          <w:b/>
          <w:bCs/>
          <w:szCs w:val="21"/>
        </w:rPr>
        <w:t>5.8.</w:t>
      </w:r>
      <w:r>
        <w:rPr>
          <w:rFonts w:hint="eastAsia"/>
          <w:b/>
          <w:bCs/>
          <w:szCs w:val="21"/>
          <w:lang w:val="en-US" w:eastAsia="zh-CN"/>
        </w:rPr>
        <w:t>5</w:t>
      </w:r>
      <w:r>
        <w:rPr>
          <w:rFonts w:hint="eastAsia"/>
          <w:b/>
          <w:bCs/>
          <w:szCs w:val="21"/>
        </w:rPr>
        <w:t xml:space="preserve"> </w:t>
      </w:r>
      <w:r>
        <w:rPr>
          <w:rFonts w:ascii="宋体" w:hAnsi="宋体"/>
          <w:szCs w:val="21"/>
        </w:rPr>
        <w:t>拱桥施工</w:t>
      </w:r>
    </w:p>
    <w:p>
      <w:pPr>
        <w:spacing w:line="400" w:lineRule="exact"/>
        <w:ind w:firstLine="422" w:firstLineChars="200"/>
        <w:jc w:val="left"/>
        <w:rPr>
          <w:rFonts w:ascii="宋体" w:hAnsi="宋体" w:cs="宋体"/>
          <w:szCs w:val="21"/>
        </w:rPr>
      </w:pPr>
      <w:r>
        <w:rPr>
          <w:rFonts w:hint="eastAsia" w:ascii="宋体" w:hAnsi="宋体" w:cs="宋体"/>
          <w:b/>
          <w:bCs/>
          <w:szCs w:val="21"/>
        </w:rPr>
        <w:t>1</w:t>
      </w:r>
      <w:r>
        <w:rPr>
          <w:rFonts w:hint="eastAsia" w:ascii="宋体" w:hAnsi="宋体" w:cs="宋体"/>
          <w:szCs w:val="21"/>
        </w:rPr>
        <w:t>　拱上结构在卸落拱架前砌筑时，封拱砂浆强度未达到设计强度的</w:t>
      </w:r>
      <w:r>
        <w:rPr>
          <w:szCs w:val="21"/>
        </w:rPr>
        <w:t>30%</w:t>
      </w:r>
      <w:r>
        <w:rPr>
          <w:rFonts w:hint="eastAsia" w:ascii="宋体" w:hAnsi="宋体" w:cs="宋体"/>
          <w:szCs w:val="21"/>
        </w:rPr>
        <w:t>；或在卸落拱架后砌筑时，封拱砂浆强度未达到设计强度的</w:t>
      </w:r>
      <w:r>
        <w:rPr>
          <w:szCs w:val="21"/>
        </w:rPr>
        <w:t>70%</w:t>
      </w:r>
      <w:r>
        <w:rPr>
          <w:rFonts w:hint="eastAsia" w:ascii="宋体" w:hAnsi="宋体" w:cs="宋体"/>
          <w:szCs w:val="21"/>
        </w:rPr>
        <w:t>。</w:t>
      </w:r>
    </w:p>
    <w:p>
      <w:pPr>
        <w:spacing w:line="400" w:lineRule="exact"/>
        <w:ind w:firstLine="422" w:firstLineChars="200"/>
        <w:jc w:val="left"/>
        <w:rPr>
          <w:rFonts w:ascii="宋体" w:hAnsi="宋体" w:cs="宋体"/>
          <w:b/>
          <w:bCs/>
          <w:szCs w:val="21"/>
        </w:rPr>
      </w:pPr>
      <w:r>
        <w:rPr>
          <w:b/>
          <w:bCs/>
          <w:szCs w:val="21"/>
        </w:rPr>
        <w:t>2</w:t>
      </w:r>
      <w:r>
        <w:rPr>
          <w:rFonts w:hint="eastAsia" w:ascii="宋体" w:hAnsi="宋体" w:cs="宋体"/>
          <w:b/>
          <w:bCs/>
          <w:szCs w:val="21"/>
        </w:rPr>
        <w:t>　</w:t>
      </w:r>
      <w:r>
        <w:rPr>
          <w:rFonts w:hint="eastAsia" w:ascii="宋体" w:hAnsi="宋体" w:cs="宋体"/>
          <w:szCs w:val="21"/>
        </w:rPr>
        <w:t>分段浇注的拱圈混凝土未达到设计强度的</w:t>
      </w:r>
      <w:r>
        <w:rPr>
          <w:szCs w:val="21"/>
        </w:rPr>
        <w:t>75%</w:t>
      </w:r>
      <w:r>
        <w:rPr>
          <w:rFonts w:hint="eastAsia" w:ascii="宋体" w:hAnsi="宋体" w:cs="宋体"/>
          <w:szCs w:val="21"/>
        </w:rPr>
        <w:t>，进行封拱合拢施工。</w:t>
      </w:r>
    </w:p>
    <w:p>
      <w:pPr>
        <w:spacing w:line="400" w:lineRule="exact"/>
        <w:ind w:firstLine="422" w:firstLineChars="200"/>
        <w:jc w:val="left"/>
        <w:rPr>
          <w:rFonts w:ascii="宋体" w:hAnsi="宋体" w:cs="宋体"/>
          <w:szCs w:val="21"/>
        </w:rPr>
      </w:pPr>
      <w:r>
        <w:rPr>
          <w:b/>
          <w:bCs/>
          <w:szCs w:val="21"/>
        </w:rPr>
        <w:t>3</w:t>
      </w:r>
      <w:r>
        <w:rPr>
          <w:rFonts w:hint="eastAsia" w:ascii="宋体" w:hAnsi="宋体" w:cs="宋体"/>
          <w:szCs w:val="21"/>
        </w:rPr>
        <w:t>　装配式混凝土拱桥支架卸落时，拱肋接头和横系梁混凝土强度未达到设计强度的</w:t>
      </w:r>
      <w:r>
        <w:rPr>
          <w:szCs w:val="21"/>
        </w:rPr>
        <w:t>75%</w:t>
      </w:r>
      <w:r>
        <w:rPr>
          <w:rFonts w:hint="eastAsia" w:ascii="宋体" w:hAnsi="宋体" w:cs="宋体"/>
          <w:szCs w:val="21"/>
        </w:rPr>
        <w:t>以上或设计规定。</w:t>
      </w:r>
    </w:p>
    <w:p>
      <w:pPr>
        <w:spacing w:line="400" w:lineRule="exact"/>
        <w:rPr>
          <w:b/>
          <w:bCs/>
          <w:szCs w:val="21"/>
        </w:rPr>
      </w:pPr>
      <w:r>
        <w:rPr>
          <w:rFonts w:hint="eastAsia"/>
          <w:b/>
          <w:bCs/>
          <w:szCs w:val="21"/>
        </w:rPr>
        <w:t>5.8.</w:t>
      </w:r>
      <w:r>
        <w:rPr>
          <w:rFonts w:hint="eastAsia"/>
          <w:b/>
          <w:bCs/>
          <w:szCs w:val="21"/>
          <w:lang w:val="en-US" w:eastAsia="zh-CN"/>
        </w:rPr>
        <w:t>6</w:t>
      </w:r>
      <w:r>
        <w:rPr>
          <w:rFonts w:hint="eastAsia"/>
          <w:b/>
          <w:bCs/>
          <w:szCs w:val="21"/>
        </w:rPr>
        <w:t xml:space="preserve"> </w:t>
      </w:r>
      <w:r>
        <w:rPr>
          <w:rFonts w:hint="eastAsia"/>
          <w:szCs w:val="21"/>
        </w:rPr>
        <w:t>斜拉桥与悬索桥</w:t>
      </w:r>
    </w:p>
    <w:p>
      <w:pPr>
        <w:spacing w:line="400" w:lineRule="exact"/>
        <w:ind w:left="424" w:leftChars="202"/>
        <w:jc w:val="left"/>
        <w:rPr>
          <w:b/>
          <w:bCs/>
          <w:szCs w:val="21"/>
        </w:rPr>
      </w:pPr>
      <w:r>
        <w:rPr>
          <w:rFonts w:hint="eastAsia"/>
          <w:b/>
          <w:bCs/>
          <w:szCs w:val="21"/>
        </w:rPr>
        <w:t>1　</w:t>
      </w:r>
      <w:r>
        <w:rPr>
          <w:rFonts w:hint="eastAsia"/>
          <w:szCs w:val="21"/>
        </w:rPr>
        <w:t>索塔未设置避雷器。</w:t>
      </w:r>
    </w:p>
    <w:p>
      <w:pPr>
        <w:spacing w:line="400" w:lineRule="exact"/>
        <w:ind w:left="424" w:leftChars="202"/>
        <w:jc w:val="left"/>
        <w:rPr>
          <w:b/>
          <w:bCs/>
          <w:szCs w:val="21"/>
        </w:rPr>
      </w:pPr>
      <w:r>
        <w:rPr>
          <w:rFonts w:hint="eastAsia"/>
          <w:b/>
          <w:bCs/>
          <w:szCs w:val="21"/>
        </w:rPr>
        <w:t>2　</w:t>
      </w:r>
      <w:r>
        <w:rPr>
          <w:rFonts w:hint="eastAsia"/>
          <w:szCs w:val="21"/>
        </w:rPr>
        <w:t>安装拉索时，缆索保护层和锚头损伤未及时修补。</w:t>
      </w:r>
    </w:p>
    <w:p>
      <w:pPr>
        <w:spacing w:line="400" w:lineRule="exact"/>
        <w:rPr>
          <w:szCs w:val="21"/>
        </w:rPr>
      </w:pPr>
      <w:r>
        <w:rPr>
          <w:rFonts w:hint="eastAsia"/>
          <w:b/>
          <w:bCs/>
          <w:szCs w:val="21"/>
        </w:rPr>
        <w:t>5.8.</w:t>
      </w:r>
      <w:r>
        <w:rPr>
          <w:rFonts w:hint="eastAsia"/>
          <w:b/>
          <w:bCs/>
          <w:szCs w:val="21"/>
          <w:lang w:val="en-US" w:eastAsia="zh-CN"/>
        </w:rPr>
        <w:t>7</w:t>
      </w:r>
      <w:r>
        <w:rPr>
          <w:rFonts w:hint="eastAsia"/>
          <w:szCs w:val="21"/>
        </w:rPr>
        <w:t>转体桥</w:t>
      </w:r>
    </w:p>
    <w:p>
      <w:pPr>
        <w:spacing w:line="400" w:lineRule="exact"/>
        <w:ind w:left="424" w:leftChars="202"/>
        <w:rPr>
          <w:rFonts w:ascii="宋体" w:hAnsi="宋体" w:cs="宋体"/>
          <w:sz w:val="28"/>
          <w:szCs w:val="28"/>
        </w:rPr>
      </w:pPr>
      <w:r>
        <w:rPr>
          <w:rFonts w:hint="eastAsia"/>
          <w:b/>
          <w:bCs/>
          <w:szCs w:val="21"/>
        </w:rPr>
        <w:t>1</w:t>
      </w:r>
      <w:r>
        <w:rPr>
          <w:b/>
          <w:bCs/>
          <w:szCs w:val="21"/>
        </w:rPr>
        <w:t>　</w:t>
      </w:r>
      <w:r>
        <w:rPr>
          <w:rFonts w:hint="eastAsia" w:ascii="宋体" w:hAnsi="宋体" w:cs="宋体"/>
          <w:szCs w:val="21"/>
        </w:rPr>
        <w:t>转体锚固体系锚固力不足。</w:t>
      </w:r>
    </w:p>
    <w:p>
      <w:pPr>
        <w:spacing w:line="400" w:lineRule="exact"/>
        <w:ind w:left="424" w:leftChars="202"/>
        <w:rPr>
          <w:rFonts w:ascii="宋体" w:hAnsi="宋体" w:cs="宋体"/>
          <w:szCs w:val="21"/>
        </w:rPr>
      </w:pPr>
      <w:r>
        <w:rPr>
          <w:b/>
          <w:bCs/>
          <w:szCs w:val="21"/>
        </w:rPr>
        <w:t>2</w:t>
      </w:r>
      <w:r>
        <w:rPr>
          <w:rFonts w:hint="eastAsia" w:ascii="宋体" w:hAnsi="宋体" w:cs="宋体"/>
          <w:szCs w:val="21"/>
        </w:rPr>
        <w:t>　转动体系、锚固体系和动力体系等未进行专门设计。</w:t>
      </w:r>
    </w:p>
    <w:p>
      <w:pPr>
        <w:spacing w:line="400" w:lineRule="exact"/>
        <w:rPr>
          <w:b/>
          <w:bCs/>
          <w:szCs w:val="21"/>
        </w:rPr>
      </w:pPr>
      <w:r>
        <w:rPr>
          <w:rFonts w:hint="eastAsia"/>
          <w:b/>
          <w:bCs/>
          <w:szCs w:val="21"/>
        </w:rPr>
        <w:t>5.8.</w:t>
      </w:r>
      <w:r>
        <w:rPr>
          <w:rFonts w:hint="eastAsia"/>
          <w:b/>
          <w:bCs/>
          <w:szCs w:val="21"/>
          <w:lang w:val="en-US" w:eastAsia="zh-CN"/>
        </w:rPr>
        <w:t>8</w:t>
      </w:r>
      <w:r>
        <w:rPr>
          <w:rFonts w:hint="eastAsia"/>
          <w:b/>
          <w:bCs/>
          <w:szCs w:val="21"/>
        </w:rPr>
        <w:t xml:space="preserve"> </w:t>
      </w:r>
      <w:r>
        <w:rPr>
          <w:rFonts w:hint="eastAsia"/>
          <w:bCs/>
          <w:szCs w:val="21"/>
        </w:rPr>
        <w:t>顶进桥涵</w:t>
      </w:r>
    </w:p>
    <w:p>
      <w:pPr>
        <w:spacing w:line="400" w:lineRule="exact"/>
        <w:ind w:left="424" w:leftChars="202"/>
        <w:rPr>
          <w:b/>
          <w:bCs/>
          <w:szCs w:val="21"/>
        </w:rPr>
      </w:pPr>
      <w:r>
        <w:rPr>
          <w:b/>
          <w:bCs/>
          <w:szCs w:val="21"/>
        </w:rPr>
        <w:t>1　</w:t>
      </w:r>
      <w:r>
        <w:rPr>
          <w:rFonts w:hint="eastAsia"/>
          <w:bCs/>
          <w:szCs w:val="21"/>
        </w:rPr>
        <w:t>顶进桥涵施工未按规定监测。</w:t>
      </w:r>
    </w:p>
    <w:p>
      <w:pPr>
        <w:spacing w:line="400" w:lineRule="exact"/>
        <w:ind w:left="424" w:leftChars="202"/>
        <w:rPr>
          <w:b/>
          <w:bCs/>
          <w:szCs w:val="21"/>
        </w:rPr>
      </w:pPr>
      <w:r>
        <w:rPr>
          <w:rFonts w:hint="eastAsia"/>
          <w:b/>
          <w:bCs/>
          <w:szCs w:val="21"/>
        </w:rPr>
        <w:t>2　</w:t>
      </w:r>
      <w:r>
        <w:rPr>
          <w:rFonts w:hint="eastAsia"/>
          <w:bCs/>
          <w:szCs w:val="21"/>
        </w:rPr>
        <w:t>顶进后背未经验收即投入使用。</w:t>
      </w:r>
    </w:p>
    <w:p>
      <w:pPr>
        <w:spacing w:line="400" w:lineRule="exact"/>
        <w:ind w:left="424" w:leftChars="202"/>
        <w:rPr>
          <w:b/>
          <w:bCs/>
          <w:szCs w:val="21"/>
        </w:rPr>
      </w:pPr>
      <w:r>
        <w:rPr>
          <w:rFonts w:hint="eastAsia"/>
          <w:b/>
          <w:bCs/>
          <w:szCs w:val="21"/>
        </w:rPr>
        <w:t>3　</w:t>
      </w:r>
      <w:r>
        <w:rPr>
          <w:rFonts w:hint="eastAsia"/>
          <w:bCs/>
          <w:szCs w:val="21"/>
        </w:rPr>
        <w:t>顶进过程中进行挖土作业。</w:t>
      </w:r>
    </w:p>
    <w:p>
      <w:pPr>
        <w:spacing w:line="400" w:lineRule="exact"/>
        <w:ind w:left="424" w:leftChars="202"/>
        <w:rPr>
          <w:rFonts w:hint="eastAsia"/>
          <w:b/>
          <w:bCs/>
          <w:szCs w:val="21"/>
        </w:rPr>
      </w:pPr>
      <w:r>
        <w:rPr>
          <w:rFonts w:hint="eastAsia"/>
          <w:b/>
          <w:bCs/>
          <w:szCs w:val="21"/>
        </w:rPr>
        <w:t>4　</w:t>
      </w:r>
      <w:r>
        <w:rPr>
          <w:rFonts w:hint="eastAsia"/>
          <w:bCs/>
          <w:szCs w:val="21"/>
        </w:rPr>
        <w:t>在既有线路车辆通行期间进行顶进作业或挖土作业。</w:t>
      </w:r>
    </w:p>
    <w:p>
      <w:pPr>
        <w:pStyle w:val="3"/>
        <w:spacing w:line="400" w:lineRule="exact"/>
        <w:rPr>
          <w:lang w:eastAsia="zh-CN"/>
        </w:rPr>
      </w:pPr>
      <w:bookmarkStart w:id="37" w:name="_Toc17740"/>
      <w:r>
        <w:rPr>
          <w:rFonts w:hint="eastAsia"/>
        </w:rPr>
        <w:t>5.</w:t>
      </w:r>
      <w:r>
        <w:rPr>
          <w:rFonts w:hint="eastAsia"/>
          <w:lang w:eastAsia="zh-CN"/>
        </w:rPr>
        <w:t>9</w:t>
      </w:r>
      <w:r>
        <w:rPr>
          <w:rFonts w:hint="eastAsia"/>
        </w:rPr>
        <w:t xml:space="preserve">  </w:t>
      </w:r>
      <w:r>
        <w:rPr>
          <w:rFonts w:hint="eastAsia"/>
          <w:color w:val="000000"/>
          <w:lang w:val="en-US" w:eastAsia="zh-CN"/>
        </w:rPr>
        <w:t>水处理工程、垃圾处理工程、管网工程</w:t>
      </w:r>
      <w:bookmarkEnd w:id="37"/>
    </w:p>
    <w:p>
      <w:pPr>
        <w:spacing w:line="400" w:lineRule="exact"/>
        <w:rPr>
          <w:b/>
          <w:bCs/>
          <w:szCs w:val="21"/>
        </w:rPr>
      </w:pPr>
      <w:r>
        <w:rPr>
          <w:rFonts w:hint="eastAsia"/>
          <w:b/>
          <w:bCs/>
          <w:szCs w:val="21"/>
        </w:rPr>
        <w:t xml:space="preserve">5.9.1 </w:t>
      </w:r>
      <w:r>
        <w:rPr>
          <w:rFonts w:hint="eastAsia"/>
          <w:szCs w:val="21"/>
        </w:rPr>
        <w:t xml:space="preserve"> 顶管</w:t>
      </w:r>
    </w:p>
    <w:p>
      <w:pPr>
        <w:spacing w:line="400" w:lineRule="exact"/>
        <w:ind w:firstLine="422" w:firstLineChars="200"/>
        <w:rPr>
          <w:b w:val="0"/>
          <w:bCs w:val="0"/>
          <w:szCs w:val="21"/>
        </w:rPr>
      </w:pPr>
      <w:r>
        <w:rPr>
          <w:rFonts w:hint="eastAsia"/>
          <w:b/>
          <w:bCs/>
          <w:szCs w:val="21"/>
          <w:lang w:val="en-US" w:eastAsia="zh-CN"/>
        </w:rPr>
        <w:t xml:space="preserve">1  </w:t>
      </w:r>
      <w:r>
        <w:rPr>
          <w:rFonts w:hint="eastAsia"/>
          <w:b w:val="0"/>
          <w:bCs w:val="0"/>
          <w:szCs w:val="21"/>
        </w:rPr>
        <w:t>开挖工作坑未按方案分层支护。</w:t>
      </w:r>
    </w:p>
    <w:p>
      <w:pPr>
        <w:spacing w:line="400" w:lineRule="exact"/>
        <w:ind w:left="424" w:leftChars="202"/>
        <w:rPr>
          <w:b w:val="0"/>
          <w:bCs w:val="0"/>
          <w:szCs w:val="21"/>
        </w:rPr>
      </w:pPr>
      <w:r>
        <w:rPr>
          <w:rFonts w:hint="eastAsia"/>
          <w:b/>
          <w:bCs/>
          <w:szCs w:val="21"/>
          <w:lang w:val="en-US" w:eastAsia="zh-CN"/>
        </w:rPr>
        <w:t xml:space="preserve">2  </w:t>
      </w:r>
      <w:r>
        <w:rPr>
          <w:rFonts w:hint="eastAsia"/>
          <w:b w:val="0"/>
          <w:bCs w:val="0"/>
          <w:szCs w:val="21"/>
        </w:rPr>
        <w:t>后背与管道顶进轴线不垂直、结构尺寸和强度不符合设计要求。</w:t>
      </w:r>
    </w:p>
    <w:p>
      <w:pPr>
        <w:spacing w:line="400" w:lineRule="exact"/>
        <w:ind w:left="424" w:leftChars="202"/>
        <w:rPr>
          <w:b w:val="0"/>
          <w:bCs w:val="0"/>
          <w:szCs w:val="21"/>
        </w:rPr>
      </w:pPr>
      <w:r>
        <w:rPr>
          <w:rFonts w:hint="eastAsia"/>
          <w:b/>
          <w:bCs/>
          <w:szCs w:val="21"/>
          <w:lang w:val="en-US" w:eastAsia="zh-CN"/>
        </w:rPr>
        <w:t xml:space="preserve">3  </w:t>
      </w:r>
      <w:r>
        <w:rPr>
          <w:rFonts w:hint="eastAsia"/>
          <w:b w:val="0"/>
          <w:bCs w:val="0"/>
          <w:szCs w:val="21"/>
        </w:rPr>
        <w:t>土质良好时，顶管管端挖土长度大于</w:t>
      </w:r>
      <w:r>
        <w:rPr>
          <w:b w:val="0"/>
          <w:bCs w:val="0"/>
          <w:szCs w:val="21"/>
        </w:rPr>
        <w:t>50</w:t>
      </w:r>
      <w:r>
        <w:rPr>
          <w:rFonts w:hint="eastAsia"/>
          <w:b w:val="0"/>
          <w:bCs w:val="0"/>
          <w:szCs w:val="21"/>
          <w:lang w:eastAsia="zh-CN"/>
        </w:rPr>
        <w:t>0mm</w:t>
      </w:r>
      <w:r>
        <w:rPr>
          <w:rFonts w:hint="eastAsia"/>
          <w:b w:val="0"/>
          <w:bCs w:val="0"/>
          <w:szCs w:val="21"/>
        </w:rPr>
        <w:t>，或不良土质地段挖土长度超过</w:t>
      </w:r>
      <w:r>
        <w:rPr>
          <w:b w:val="0"/>
          <w:bCs w:val="0"/>
          <w:szCs w:val="21"/>
        </w:rPr>
        <w:t>30</w:t>
      </w:r>
      <w:r>
        <w:rPr>
          <w:rFonts w:hint="eastAsia"/>
          <w:b w:val="0"/>
          <w:bCs w:val="0"/>
          <w:szCs w:val="21"/>
          <w:lang w:eastAsia="zh-CN"/>
        </w:rPr>
        <w:t>0mm</w:t>
      </w:r>
      <w:r>
        <w:rPr>
          <w:rFonts w:hint="eastAsia"/>
          <w:b w:val="0"/>
          <w:bCs w:val="0"/>
          <w:szCs w:val="21"/>
        </w:rPr>
        <w:t>。</w:t>
      </w:r>
    </w:p>
    <w:p>
      <w:pPr>
        <w:spacing w:line="400" w:lineRule="exact"/>
        <w:ind w:left="424" w:leftChars="202"/>
        <w:rPr>
          <w:b w:val="0"/>
          <w:bCs w:val="0"/>
          <w:szCs w:val="21"/>
        </w:rPr>
      </w:pPr>
      <w:r>
        <w:rPr>
          <w:rFonts w:hint="eastAsia"/>
          <w:b/>
          <w:bCs/>
          <w:szCs w:val="21"/>
        </w:rPr>
        <w:t>4</w:t>
      </w:r>
      <w:r>
        <w:rPr>
          <w:rFonts w:hint="eastAsia"/>
          <w:b/>
          <w:bCs/>
          <w:szCs w:val="21"/>
          <w:lang w:val="en-US" w:eastAsia="zh-CN"/>
        </w:rPr>
        <w:t xml:space="preserve">  </w:t>
      </w:r>
      <w:r>
        <w:rPr>
          <w:rFonts w:hint="eastAsia"/>
          <w:b w:val="0"/>
          <w:bCs w:val="0"/>
          <w:szCs w:val="21"/>
        </w:rPr>
        <w:t>拆除支护结构与工作坑回填土未自下而上逐层同步进行。</w:t>
      </w:r>
    </w:p>
    <w:p>
      <w:pPr>
        <w:spacing w:line="400" w:lineRule="exact"/>
        <w:rPr>
          <w:b/>
          <w:bCs/>
          <w:szCs w:val="21"/>
        </w:rPr>
      </w:pPr>
      <w:r>
        <w:rPr>
          <w:rFonts w:hint="eastAsia"/>
          <w:b/>
          <w:bCs/>
          <w:szCs w:val="21"/>
        </w:rPr>
        <w:t xml:space="preserve">5.9.2  </w:t>
      </w:r>
      <w:r>
        <w:rPr>
          <w:rFonts w:hint="eastAsia"/>
          <w:szCs w:val="21"/>
        </w:rPr>
        <w:t>暗挖施工</w:t>
      </w:r>
    </w:p>
    <w:p>
      <w:pPr>
        <w:spacing w:line="400" w:lineRule="exact"/>
        <w:ind w:firstLine="422" w:firstLineChars="200"/>
        <w:rPr>
          <w:rFonts w:hint="eastAsia"/>
          <w:b w:val="0"/>
          <w:bCs w:val="0"/>
          <w:szCs w:val="21"/>
          <w:lang w:val="en-US" w:eastAsia="zh-CN"/>
        </w:rPr>
      </w:pPr>
      <w:r>
        <w:rPr>
          <w:rFonts w:hint="eastAsia"/>
          <w:b/>
          <w:bCs/>
          <w:szCs w:val="21"/>
          <w:lang w:val="en-US" w:eastAsia="zh-CN"/>
        </w:rPr>
        <w:t>1</w:t>
      </w:r>
      <w:r>
        <w:rPr>
          <w:rFonts w:hint="eastAsia"/>
          <w:b w:val="0"/>
          <w:bCs w:val="0"/>
          <w:szCs w:val="21"/>
          <w:lang w:val="en-US" w:eastAsia="zh-CN"/>
        </w:rPr>
        <w:t xml:space="preserve">  暗挖工程一次开挖两榀或多榀；格栅架设后长时间搁置。</w:t>
      </w:r>
    </w:p>
    <w:p>
      <w:pPr>
        <w:spacing w:line="400" w:lineRule="exact"/>
        <w:ind w:firstLine="422" w:firstLineChars="200"/>
        <w:rPr>
          <w:rFonts w:hint="eastAsia"/>
          <w:b w:val="0"/>
          <w:bCs w:val="0"/>
          <w:szCs w:val="21"/>
          <w:lang w:val="en-US" w:eastAsia="zh-CN"/>
        </w:rPr>
      </w:pPr>
      <w:r>
        <w:rPr>
          <w:rFonts w:hint="eastAsia"/>
          <w:b/>
          <w:bCs/>
          <w:szCs w:val="21"/>
          <w:lang w:val="en-US" w:eastAsia="zh-CN"/>
        </w:rPr>
        <w:t xml:space="preserve">2 </w:t>
      </w:r>
      <w:r>
        <w:rPr>
          <w:rFonts w:hint="eastAsia"/>
          <w:b w:val="0"/>
          <w:bCs w:val="0"/>
          <w:szCs w:val="21"/>
          <w:lang w:val="en-US" w:eastAsia="zh-CN"/>
        </w:rPr>
        <w:t xml:space="preserve"> 相对开挖的两开挖面在距离小于2倍洞跨且小于10m时，一端未停止掘进。</w:t>
      </w:r>
    </w:p>
    <w:p>
      <w:pPr>
        <w:spacing w:line="400" w:lineRule="exact"/>
        <w:ind w:firstLine="422" w:firstLineChars="200"/>
        <w:rPr>
          <w:rFonts w:hint="eastAsia"/>
          <w:b w:val="0"/>
          <w:bCs w:val="0"/>
          <w:szCs w:val="21"/>
          <w:lang w:val="en-US" w:eastAsia="zh-CN"/>
        </w:rPr>
      </w:pPr>
      <w:r>
        <w:rPr>
          <w:rFonts w:hint="eastAsia"/>
          <w:b/>
          <w:bCs/>
          <w:szCs w:val="21"/>
          <w:lang w:val="en-US" w:eastAsia="zh-CN"/>
        </w:rPr>
        <w:t>3</w:t>
      </w:r>
      <w:r>
        <w:rPr>
          <w:rFonts w:hint="eastAsia"/>
          <w:b w:val="0"/>
          <w:bCs w:val="0"/>
          <w:szCs w:val="21"/>
          <w:lang w:val="en-US" w:eastAsia="zh-CN"/>
        </w:rPr>
        <w:t xml:space="preserve">  两条平行隧道（含导洞）相距小于1倍洞跨时，其开挖面前后错开距离小于15m。</w:t>
      </w:r>
    </w:p>
    <w:p>
      <w:pPr>
        <w:spacing w:line="400" w:lineRule="exact"/>
        <w:rPr>
          <w:b/>
          <w:bCs/>
          <w:szCs w:val="21"/>
        </w:rPr>
      </w:pPr>
      <w:r>
        <w:rPr>
          <w:rFonts w:hint="eastAsia"/>
          <w:b/>
          <w:bCs/>
          <w:szCs w:val="21"/>
        </w:rPr>
        <w:t xml:space="preserve">5.9.3  </w:t>
      </w:r>
      <w:r>
        <w:rPr>
          <w:rFonts w:hint="eastAsia"/>
          <w:szCs w:val="21"/>
        </w:rPr>
        <w:t>盾构施工</w:t>
      </w:r>
    </w:p>
    <w:p>
      <w:pPr>
        <w:spacing w:line="400" w:lineRule="exact"/>
        <w:ind w:firstLine="422" w:firstLineChars="200"/>
        <w:rPr>
          <w:rFonts w:ascii="宋体" w:hAnsi="宋体"/>
          <w:szCs w:val="21"/>
        </w:rPr>
      </w:pPr>
      <w:r>
        <w:rPr>
          <w:b/>
          <w:bCs/>
          <w:szCs w:val="21"/>
        </w:rPr>
        <w:t>1</w:t>
      </w:r>
      <w:r>
        <w:rPr>
          <w:rFonts w:hint="eastAsia"/>
          <w:b/>
          <w:bCs/>
          <w:szCs w:val="21"/>
          <w:lang w:val="en-US" w:eastAsia="zh-CN"/>
        </w:rPr>
        <w:t xml:space="preserve">  </w:t>
      </w:r>
      <w:r>
        <w:rPr>
          <w:rFonts w:hint="eastAsia" w:ascii="宋体" w:hAnsi="宋体"/>
          <w:szCs w:val="21"/>
        </w:rPr>
        <w:t>盾构始发、到达端头加固参数、范围不符合设计要求。</w:t>
      </w:r>
    </w:p>
    <w:p>
      <w:pPr>
        <w:spacing w:line="400" w:lineRule="exact"/>
        <w:ind w:firstLine="422" w:firstLineChars="200"/>
        <w:rPr>
          <w:rFonts w:ascii="宋体" w:hAnsi="宋体"/>
          <w:szCs w:val="21"/>
        </w:rPr>
      </w:pPr>
      <w:r>
        <w:rPr>
          <w:b/>
          <w:bCs/>
          <w:szCs w:val="21"/>
        </w:rPr>
        <w:t>2</w:t>
      </w:r>
      <w:r>
        <w:rPr>
          <w:rFonts w:hint="eastAsia"/>
          <w:b/>
          <w:bCs/>
          <w:szCs w:val="21"/>
          <w:lang w:val="en-US" w:eastAsia="zh-CN"/>
        </w:rPr>
        <w:t xml:space="preserve">  </w:t>
      </w:r>
      <w:r>
        <w:rPr>
          <w:rFonts w:hint="eastAsia" w:ascii="宋体" w:hAnsi="宋体"/>
          <w:szCs w:val="21"/>
        </w:rPr>
        <w:t>盾构衬砌与周边土壤间的缝隙未及时注浆填充，或注浆自盾尾起超过5环管片，且大于</w:t>
      </w:r>
      <w:r>
        <w:rPr>
          <w:szCs w:val="21"/>
        </w:rPr>
        <w:t>5</w:t>
      </w:r>
      <w:r>
        <w:rPr>
          <w:rFonts w:hint="eastAsia"/>
          <w:szCs w:val="21"/>
          <w:lang w:eastAsia="zh-CN"/>
        </w:rPr>
        <w:t>m</w:t>
      </w:r>
      <w:r>
        <w:rPr>
          <w:rFonts w:hint="eastAsia" w:ascii="宋体" w:hAnsi="宋体"/>
          <w:szCs w:val="21"/>
        </w:rPr>
        <w:t>。</w:t>
      </w:r>
    </w:p>
    <w:p>
      <w:pPr>
        <w:spacing w:line="400" w:lineRule="exact"/>
        <w:rPr>
          <w:rFonts w:ascii="宋体" w:hAnsi="宋体"/>
          <w:szCs w:val="21"/>
        </w:rPr>
      </w:pPr>
      <w:r>
        <w:rPr>
          <w:b/>
          <w:bCs/>
          <w:szCs w:val="21"/>
        </w:rPr>
        <w:t>5.9.4</w:t>
      </w:r>
      <w:r>
        <w:rPr>
          <w:rFonts w:hint="eastAsia"/>
          <w:b/>
          <w:bCs/>
          <w:szCs w:val="21"/>
        </w:rPr>
        <w:t xml:space="preserve">  </w:t>
      </w:r>
      <w:r>
        <w:rPr>
          <w:rFonts w:hint="eastAsia" w:ascii="宋体" w:hAnsi="宋体"/>
          <w:szCs w:val="21"/>
        </w:rPr>
        <w:t>顶管、暗挖、盾构施工未按规定监测。</w:t>
      </w:r>
    </w:p>
    <w:p>
      <w:pPr>
        <w:spacing w:line="400" w:lineRule="exact"/>
        <w:rPr>
          <w:rFonts w:hint="eastAsia"/>
          <w:b/>
          <w:szCs w:val="21"/>
        </w:rPr>
      </w:pPr>
      <w:r>
        <w:rPr>
          <w:b/>
          <w:bCs/>
          <w:szCs w:val="21"/>
        </w:rPr>
        <w:t>5.9.5</w:t>
      </w:r>
      <w:r>
        <w:rPr>
          <w:rFonts w:hint="eastAsia"/>
          <w:b/>
          <w:bCs/>
          <w:szCs w:val="21"/>
        </w:rPr>
        <w:t xml:space="preserve">  </w:t>
      </w:r>
      <w:r>
        <w:rPr>
          <w:rFonts w:hint="eastAsia" w:ascii="宋体" w:hAnsi="宋体"/>
          <w:szCs w:val="21"/>
        </w:rPr>
        <w:t>在有易燃易爆环境的污水处理、垃圾处理工程作业中，未采取防燃爆措施。</w:t>
      </w:r>
    </w:p>
    <w:p>
      <w:pPr>
        <w:pStyle w:val="3"/>
        <w:spacing w:line="400" w:lineRule="exact"/>
        <w:rPr>
          <w:lang w:eastAsia="zh-CN"/>
        </w:rPr>
      </w:pPr>
      <w:bookmarkStart w:id="38" w:name="_Toc30633"/>
      <w:r>
        <w:rPr>
          <w:rFonts w:hint="eastAsia"/>
        </w:rPr>
        <w:t>5.</w:t>
      </w:r>
      <w:r>
        <w:rPr>
          <w:rFonts w:hint="eastAsia"/>
          <w:lang w:eastAsia="zh-CN"/>
        </w:rPr>
        <w:t>10</w:t>
      </w:r>
      <w:r>
        <w:rPr>
          <w:rFonts w:hint="eastAsia"/>
        </w:rPr>
        <w:t xml:space="preserve">  </w:t>
      </w:r>
      <w:r>
        <w:rPr>
          <w:rFonts w:hint="eastAsia"/>
          <w:lang w:val="en-US" w:eastAsia="zh-CN"/>
        </w:rPr>
        <w:t>其他</w:t>
      </w:r>
      <w:bookmarkEnd w:id="38"/>
    </w:p>
    <w:p>
      <w:pPr>
        <w:spacing w:line="400" w:lineRule="exact"/>
        <w:rPr>
          <w:szCs w:val="21"/>
        </w:rPr>
      </w:pPr>
      <w:r>
        <w:rPr>
          <w:rFonts w:hint="eastAsia"/>
          <w:b/>
          <w:bCs/>
          <w:szCs w:val="21"/>
        </w:rPr>
        <w:t xml:space="preserve">5.10.1 </w:t>
      </w:r>
      <w:r>
        <w:rPr>
          <w:rFonts w:hint="eastAsia"/>
          <w:szCs w:val="21"/>
        </w:rPr>
        <w:t>大风、大雨、冰冻、寒潮、大雾等极端恶劣天气未停止室外露天作业；大雨、大雪等极端恶劣天气过后未及时铲除脚手架、防护棚、宿舍等临时结构上的积雪、结冰。</w:t>
      </w:r>
    </w:p>
    <w:p>
      <w:pPr>
        <w:spacing w:line="400" w:lineRule="exact"/>
        <w:rPr>
          <w:b/>
          <w:bCs/>
          <w:szCs w:val="21"/>
        </w:rPr>
      </w:pPr>
      <w:r>
        <w:rPr>
          <w:rFonts w:hint="eastAsia"/>
          <w:b/>
          <w:bCs/>
          <w:szCs w:val="21"/>
        </w:rPr>
        <w:t xml:space="preserve">5.10.2 </w:t>
      </w:r>
      <w:r>
        <w:rPr>
          <w:rFonts w:hint="eastAsia"/>
          <w:szCs w:val="21"/>
        </w:rPr>
        <w:t>宿舍、办公室等临时设施选址在河道、泄洪道、山体滑坡等危险区域或使用中存在主体承重结构损坏、超荷载等现象。</w:t>
      </w:r>
    </w:p>
    <w:p>
      <w:pPr>
        <w:spacing w:line="400" w:lineRule="exact"/>
        <w:rPr>
          <w:szCs w:val="21"/>
        </w:rPr>
      </w:pPr>
      <w:r>
        <w:rPr>
          <w:rFonts w:hint="eastAsia"/>
          <w:b/>
          <w:bCs/>
          <w:szCs w:val="21"/>
        </w:rPr>
        <w:t xml:space="preserve">5.10.3 </w:t>
      </w:r>
      <w:r>
        <w:rPr>
          <w:rFonts w:hint="eastAsia"/>
          <w:szCs w:val="21"/>
        </w:rPr>
        <w:t>大量物料倚靠围墙、围挡、房屋墙体一侧堆放；在高度超过1.5</w:t>
      </w:r>
      <w:r>
        <w:rPr>
          <w:rFonts w:hint="eastAsia"/>
          <w:szCs w:val="21"/>
          <w:lang w:eastAsia="zh-CN"/>
        </w:rPr>
        <w:t>m</w:t>
      </w:r>
      <w:r>
        <w:rPr>
          <w:rFonts w:hint="eastAsia"/>
          <w:szCs w:val="21"/>
        </w:rPr>
        <w:t>的砖胎模强度未达到要求时回填或未分层回填。</w:t>
      </w:r>
    </w:p>
    <w:p>
      <w:pPr>
        <w:spacing w:line="400" w:lineRule="exact"/>
        <w:rPr>
          <w:b/>
          <w:bCs/>
          <w:szCs w:val="21"/>
        </w:rPr>
      </w:pPr>
      <w:r>
        <w:rPr>
          <w:rFonts w:hint="eastAsia"/>
          <w:b/>
          <w:bCs/>
          <w:szCs w:val="21"/>
        </w:rPr>
        <w:t xml:space="preserve">5.10.4 </w:t>
      </w:r>
      <w:r>
        <w:rPr>
          <w:rFonts w:hint="eastAsia" w:ascii="宋体" w:hAnsi="宋体"/>
          <w:szCs w:val="21"/>
        </w:rPr>
        <w:t>大断面梁、板钢筋施工时，支撑马凳的强度、数量不足、位置不合理且无防位移措施或钢筋上方物料存放超过荷载要求。</w:t>
      </w:r>
    </w:p>
    <w:p>
      <w:pPr>
        <w:spacing w:line="400" w:lineRule="exact"/>
        <w:rPr>
          <w:b/>
          <w:bCs/>
          <w:szCs w:val="21"/>
        </w:rPr>
      </w:pPr>
      <w:r>
        <w:rPr>
          <w:rFonts w:hint="eastAsia"/>
          <w:b/>
          <w:bCs/>
          <w:szCs w:val="21"/>
        </w:rPr>
        <w:t xml:space="preserve">5.10.5 </w:t>
      </w:r>
      <w:r>
        <w:rPr>
          <w:rFonts w:hint="eastAsia"/>
          <w:szCs w:val="21"/>
        </w:rPr>
        <w:t>无支腿大模板、预制墙体构件、玻璃板等大型材料在存放、装卸、运输、使用过程中未使用专用存放设施或无防倾倒措施。</w:t>
      </w:r>
    </w:p>
    <w:p>
      <w:pPr>
        <w:pStyle w:val="2"/>
        <w:rPr>
          <w:rFonts w:hint="eastAsia" w:eastAsia="宋体"/>
          <w:kern w:val="0"/>
          <w:lang w:eastAsia="zh-CN"/>
        </w:rPr>
      </w:pPr>
      <w:r>
        <w:rPr>
          <w:szCs w:val="21"/>
        </w:rPr>
        <w:br w:type="page"/>
      </w:r>
      <w:r>
        <w:rPr>
          <w:rFonts w:hint="eastAsia"/>
          <w:kern w:val="0"/>
        </w:rPr>
        <w:t xml:space="preserve"> </w:t>
      </w:r>
      <w:bookmarkStart w:id="39" w:name="_Toc333407524"/>
      <w:bookmarkStart w:id="40" w:name="_Toc349114362"/>
      <w:bookmarkStart w:id="41" w:name="_Toc2358"/>
      <w:bookmarkStart w:id="42" w:name="_Toc263166908"/>
      <w:r>
        <w:rPr>
          <w:rFonts w:hint="eastAsia"/>
          <w:kern w:val="0"/>
        </w:rPr>
        <w:t>6</w:t>
      </w:r>
      <w:r>
        <w:rPr>
          <w:kern w:val="0"/>
        </w:rPr>
        <w:t xml:space="preserve"> </w:t>
      </w:r>
      <w:r>
        <w:rPr>
          <w:rFonts w:hint="eastAsia"/>
          <w:kern w:val="0"/>
        </w:rPr>
        <w:t xml:space="preserve"> </w:t>
      </w:r>
      <w:bookmarkEnd w:id="39"/>
      <w:bookmarkEnd w:id="40"/>
      <w:bookmarkStart w:id="43" w:name="_Toc312309464"/>
      <w:r>
        <w:rPr>
          <w:rFonts w:hint="eastAsia"/>
          <w:kern w:val="0"/>
          <w:lang w:val="en-US" w:eastAsia="zh-CN"/>
        </w:rPr>
        <w:t>城市</w:t>
      </w:r>
      <w:r>
        <w:rPr>
          <w:rFonts w:hint="eastAsia"/>
          <w:kern w:val="0"/>
        </w:rPr>
        <w:t>轨道交通工程</w:t>
      </w:r>
      <w:bookmarkEnd w:id="41"/>
      <w:r>
        <w:rPr>
          <w:rFonts w:hint="eastAsia"/>
          <w:kern w:val="0"/>
          <w:lang w:eastAsia="zh-CN"/>
        </w:rPr>
        <w:t>重大生产安全事故隐患</w:t>
      </w:r>
    </w:p>
    <w:p>
      <w:pPr>
        <w:pStyle w:val="3"/>
        <w:spacing w:line="400" w:lineRule="exact"/>
      </w:pPr>
      <w:bookmarkStart w:id="44" w:name="_Toc25997"/>
      <w:bookmarkStart w:id="45" w:name="_Toc349114363"/>
      <w:bookmarkStart w:id="46" w:name="_Toc333407525"/>
      <w:r>
        <w:rPr>
          <w:rFonts w:hint="eastAsia"/>
        </w:rPr>
        <w:t xml:space="preserve">6.1  </w:t>
      </w:r>
      <w:bookmarkEnd w:id="43"/>
      <w:bookmarkEnd w:id="44"/>
      <w:bookmarkEnd w:id="45"/>
      <w:bookmarkEnd w:id="46"/>
      <w:r>
        <w:rPr>
          <w:rFonts w:hint="eastAsia"/>
          <w:lang w:val="en-US" w:eastAsia="zh-CN"/>
        </w:rPr>
        <w:t>条件核查</w:t>
      </w:r>
    </w:p>
    <w:p>
      <w:pPr>
        <w:spacing w:line="400" w:lineRule="exact"/>
        <w:ind w:right="-71" w:rightChars="-34"/>
        <w:rPr>
          <w:rFonts w:hint="eastAsia" w:ascii="宋体" w:hAnsi="宋体"/>
          <w:color w:val="FF0000"/>
          <w:szCs w:val="21"/>
        </w:rPr>
      </w:pPr>
      <w:r>
        <w:rPr>
          <w:rFonts w:hAnsi="宋体"/>
          <w:b/>
          <w:szCs w:val="21"/>
        </w:rPr>
        <w:t>6</w:t>
      </w:r>
      <w:r>
        <w:rPr>
          <w:rFonts w:hint="eastAsia" w:hAnsi="宋体"/>
          <w:b/>
          <w:szCs w:val="21"/>
        </w:rPr>
        <w:t>.1.</w:t>
      </w:r>
      <w:r>
        <w:rPr>
          <w:rFonts w:hAnsi="宋体"/>
          <w:b/>
          <w:szCs w:val="21"/>
        </w:rPr>
        <w:t xml:space="preserve">1 </w:t>
      </w:r>
      <w:r>
        <w:rPr>
          <w:rFonts w:hint="eastAsia" w:hAnsi="宋体"/>
          <w:b/>
          <w:szCs w:val="21"/>
          <w:lang w:val="en-US" w:eastAsia="zh-CN"/>
        </w:rPr>
        <w:t xml:space="preserve"> </w:t>
      </w:r>
      <w:r>
        <w:rPr>
          <w:rFonts w:hint="eastAsia" w:ascii="宋体" w:hAnsi="宋体"/>
          <w:kern w:val="0"/>
          <w:szCs w:val="21"/>
        </w:rPr>
        <w:t>关键节点施工前未按要求组织条件核查。</w:t>
      </w:r>
    </w:p>
    <w:p>
      <w:pPr>
        <w:spacing w:line="400" w:lineRule="exact"/>
        <w:ind w:right="-71" w:rightChars="-34"/>
        <w:rPr>
          <w:rFonts w:hint="eastAsia" w:ascii="宋体" w:hAnsi="宋体"/>
          <w:kern w:val="0"/>
          <w:szCs w:val="21"/>
        </w:rPr>
      </w:pPr>
      <w:bookmarkStart w:id="47" w:name="_Toc312309465"/>
      <w:bookmarkStart w:id="48" w:name="_Toc15551"/>
      <w:r>
        <w:rPr>
          <w:rFonts w:hint="eastAsia" w:hAnsi="宋体"/>
          <w:b/>
          <w:szCs w:val="21"/>
        </w:rPr>
        <w:t>6.</w:t>
      </w:r>
      <w:r>
        <w:rPr>
          <w:rFonts w:hint="eastAsia" w:hAnsi="宋体"/>
          <w:b/>
          <w:szCs w:val="21"/>
          <w:lang w:val="en-US" w:eastAsia="zh-CN"/>
        </w:rPr>
        <w:t>1</w:t>
      </w:r>
      <w:r>
        <w:rPr>
          <w:rFonts w:hint="eastAsia" w:hAnsi="宋体"/>
          <w:b/>
          <w:szCs w:val="21"/>
        </w:rPr>
        <w:t>.</w:t>
      </w:r>
      <w:r>
        <w:rPr>
          <w:rFonts w:hint="eastAsia" w:hAnsi="宋体"/>
          <w:b/>
          <w:szCs w:val="21"/>
          <w:lang w:val="en-US" w:eastAsia="zh-CN"/>
        </w:rPr>
        <w:t xml:space="preserve">2  </w:t>
      </w:r>
      <w:r>
        <w:rPr>
          <w:rFonts w:hint="eastAsia" w:ascii="宋体" w:hAnsi="宋体"/>
          <w:kern w:val="0"/>
          <w:szCs w:val="21"/>
        </w:rPr>
        <w:t>施工工法发生重大变化，方案未及时调整并重新审核及论证且仍然继续施工。</w:t>
      </w:r>
    </w:p>
    <w:p>
      <w:pPr>
        <w:spacing w:line="400" w:lineRule="exact"/>
        <w:ind w:right="-71" w:rightChars="-34"/>
        <w:rPr>
          <w:rFonts w:hint="eastAsia" w:ascii="宋体" w:hAnsi="宋体"/>
          <w:kern w:val="0"/>
          <w:szCs w:val="21"/>
        </w:rPr>
      </w:pPr>
      <w:r>
        <w:rPr>
          <w:rFonts w:hint="eastAsia" w:hAnsi="宋体"/>
          <w:b/>
          <w:szCs w:val="21"/>
        </w:rPr>
        <w:t>6.</w:t>
      </w:r>
      <w:r>
        <w:rPr>
          <w:rFonts w:hint="eastAsia" w:hAnsi="宋体"/>
          <w:b/>
          <w:szCs w:val="21"/>
          <w:lang w:val="en-US" w:eastAsia="zh-CN"/>
        </w:rPr>
        <w:t>1</w:t>
      </w:r>
      <w:r>
        <w:rPr>
          <w:rFonts w:hint="eastAsia" w:hAnsi="宋体"/>
          <w:b/>
          <w:szCs w:val="21"/>
        </w:rPr>
        <w:t>.</w:t>
      </w:r>
      <w:r>
        <w:rPr>
          <w:rFonts w:hint="eastAsia" w:hAnsi="宋体"/>
          <w:b/>
          <w:szCs w:val="21"/>
          <w:lang w:val="en-US" w:eastAsia="zh-CN"/>
        </w:rPr>
        <w:t xml:space="preserve">3  </w:t>
      </w:r>
      <w:r>
        <w:rPr>
          <w:rFonts w:hint="eastAsia" w:ascii="宋体" w:hAnsi="宋体"/>
          <w:kern w:val="0"/>
          <w:szCs w:val="21"/>
        </w:rPr>
        <w:t>盾构开仓方案未组织论证。</w:t>
      </w:r>
    </w:p>
    <w:p>
      <w:pPr>
        <w:pStyle w:val="3"/>
        <w:rPr>
          <w:rFonts w:hint="eastAsia"/>
          <w:lang w:eastAsia="zh-CN"/>
        </w:rPr>
      </w:pPr>
      <w:r>
        <w:rPr>
          <w:rFonts w:hint="eastAsia"/>
        </w:rPr>
        <w:t xml:space="preserve">6.2  </w:t>
      </w:r>
      <w:bookmarkEnd w:id="47"/>
      <w:r>
        <w:rPr>
          <w:rFonts w:hint="eastAsia"/>
          <w:lang w:eastAsia="zh-CN"/>
        </w:rPr>
        <w:t>明挖工程</w:t>
      </w:r>
      <w:bookmarkEnd w:id="48"/>
    </w:p>
    <w:p>
      <w:pPr>
        <w:spacing w:line="400" w:lineRule="exact"/>
        <w:ind w:right="-71" w:rightChars="-34"/>
        <w:rPr>
          <w:rFonts w:hint="eastAsia" w:ascii="宋体" w:hAnsi="宋体"/>
          <w:kern w:val="0"/>
          <w:szCs w:val="21"/>
        </w:rPr>
      </w:pPr>
      <w:bookmarkStart w:id="49" w:name="_Toc312309466"/>
      <w:r>
        <w:rPr>
          <w:rFonts w:hAnsi="宋体"/>
          <w:b/>
          <w:szCs w:val="21"/>
        </w:rPr>
        <w:t>6</w:t>
      </w:r>
      <w:r>
        <w:rPr>
          <w:rFonts w:hint="eastAsia" w:hAnsi="宋体"/>
          <w:b/>
          <w:szCs w:val="21"/>
        </w:rPr>
        <w:t>.2.1</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支护结构施工中基坑阳角、明暗挖结合段支撑架设滞后、锚索未按设计要求拉拔锁定即进行下层土开挖、未设置抗剪蹬，且监测数据已达到红色预警值仍未停止作业并采取措施。</w:t>
      </w:r>
    </w:p>
    <w:p>
      <w:pPr>
        <w:spacing w:line="400" w:lineRule="exact"/>
        <w:ind w:right="-71" w:rightChars="-34"/>
        <w:rPr>
          <w:rFonts w:hint="eastAsia" w:ascii="宋体" w:hAnsi="宋体"/>
          <w:kern w:val="0"/>
          <w:szCs w:val="21"/>
        </w:rPr>
      </w:pPr>
      <w:r>
        <w:rPr>
          <w:rFonts w:hint="eastAsia" w:hAnsi="宋体"/>
          <w:b/>
          <w:szCs w:val="21"/>
        </w:rPr>
        <w:t>6.2.2</w:t>
      </w:r>
      <w:r>
        <w:rPr>
          <w:rFonts w:hint="eastAsia" w:hAnsi="宋体"/>
          <w:b/>
          <w:szCs w:val="21"/>
          <w:lang w:val="en-US" w:eastAsia="zh-CN"/>
        </w:rPr>
        <w:t xml:space="preserve">  </w:t>
      </w:r>
      <w:r>
        <w:rPr>
          <w:rFonts w:hint="eastAsia" w:ascii="宋体" w:hAnsi="宋体"/>
          <w:kern w:val="0"/>
          <w:szCs w:val="21"/>
        </w:rPr>
        <w:t>基坑边沿堆载超出设计限值，且监测数据已达到红色预警值仍未采取措施停止作业。</w:t>
      </w:r>
    </w:p>
    <w:bookmarkEnd w:id="42"/>
    <w:bookmarkEnd w:id="49"/>
    <w:p>
      <w:pPr>
        <w:pStyle w:val="3"/>
        <w:spacing w:line="400" w:lineRule="exact"/>
        <w:rPr>
          <w:rFonts w:hint="eastAsia"/>
          <w:szCs w:val="24"/>
          <w:lang w:eastAsia="zh-CN"/>
        </w:rPr>
      </w:pPr>
      <w:bookmarkStart w:id="50" w:name="_Toc21751"/>
      <w:bookmarkStart w:id="51" w:name="_Toc312309470"/>
      <w:bookmarkStart w:id="52" w:name="_Toc333407530"/>
      <w:bookmarkStart w:id="53" w:name="_Toc349114367"/>
      <w:r>
        <w:rPr>
          <w:rFonts w:hint="eastAsia"/>
          <w:szCs w:val="24"/>
        </w:rPr>
        <w:t xml:space="preserve">6.3  </w:t>
      </w:r>
      <w:r>
        <w:rPr>
          <w:rFonts w:hint="eastAsia"/>
          <w:szCs w:val="24"/>
          <w:lang w:eastAsia="zh-CN"/>
        </w:rPr>
        <w:t>矿山法工程</w:t>
      </w:r>
      <w:bookmarkEnd w:id="50"/>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1 </w:t>
      </w:r>
      <w:r>
        <w:rPr>
          <w:rFonts w:hint="eastAsia" w:ascii="宋体" w:hAnsi="宋体"/>
          <w:kern w:val="0"/>
          <w:szCs w:val="21"/>
        </w:rPr>
        <w:t>马头门破除、大断面、变断面或多导洞施工时，施工顺序与方案不符、未作超前支护、拱部一次开挖施工两榀及以上，且达发布红色综合预警条件。</w:t>
      </w:r>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2 </w:t>
      </w:r>
      <w:r>
        <w:rPr>
          <w:rFonts w:hint="eastAsia" w:ascii="宋体" w:hAnsi="宋体"/>
          <w:kern w:val="0"/>
          <w:szCs w:val="21"/>
        </w:rPr>
        <w:t>同向或相向开挖隧道距离小于规范及设计规定时，另一端未停止开挖，且达发布红色综合预警条件。</w:t>
      </w:r>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3  </w:t>
      </w:r>
      <w:r>
        <w:rPr>
          <w:rFonts w:hint="eastAsia" w:ascii="宋体" w:hAnsi="宋体"/>
          <w:kern w:val="0"/>
          <w:szCs w:val="21"/>
        </w:rPr>
        <w:t>平顶直墙段、斜坡段或大断面段等临时支撑拆除超过设计规定长度，且监测数据已达到红色预警值。</w:t>
      </w:r>
    </w:p>
    <w:p>
      <w:pPr>
        <w:pStyle w:val="3"/>
        <w:spacing w:line="400" w:lineRule="exact"/>
        <w:rPr>
          <w:rFonts w:hint="eastAsia"/>
          <w:szCs w:val="24"/>
          <w:lang w:eastAsia="zh-CN"/>
        </w:rPr>
      </w:pPr>
      <w:bookmarkStart w:id="54" w:name="_Toc19350"/>
      <w:r>
        <w:rPr>
          <w:rFonts w:hint="eastAsia"/>
          <w:szCs w:val="24"/>
        </w:rPr>
        <w:t>6.</w:t>
      </w:r>
      <w:r>
        <w:rPr>
          <w:rFonts w:hint="eastAsia"/>
          <w:szCs w:val="24"/>
          <w:lang w:eastAsia="zh-CN"/>
        </w:rPr>
        <w:t>4</w:t>
      </w:r>
      <w:r>
        <w:rPr>
          <w:rFonts w:hint="eastAsia"/>
          <w:szCs w:val="24"/>
        </w:rPr>
        <w:t xml:space="preserve">  </w:t>
      </w:r>
      <w:r>
        <w:rPr>
          <w:rFonts w:hint="eastAsia"/>
          <w:szCs w:val="24"/>
          <w:lang w:eastAsia="zh-CN"/>
        </w:rPr>
        <w:t>盾构工程</w:t>
      </w:r>
      <w:bookmarkEnd w:id="54"/>
    </w:p>
    <w:p>
      <w:pPr>
        <w:spacing w:line="400" w:lineRule="exact"/>
        <w:ind w:right="-71" w:rightChars="-34"/>
        <w:rPr>
          <w:rFonts w:hint="eastAsia" w:ascii="宋体" w:hAnsi="宋体"/>
          <w:kern w:val="0"/>
          <w:szCs w:val="21"/>
        </w:rPr>
      </w:pPr>
      <w:r>
        <w:rPr>
          <w:rFonts w:hint="eastAsia" w:hAnsi="宋体"/>
          <w:b/>
          <w:szCs w:val="21"/>
        </w:rPr>
        <w:t>6.4.1</w:t>
      </w:r>
      <w:r>
        <w:rPr>
          <w:rFonts w:hint="eastAsia" w:hAnsi="宋体"/>
          <w:b/>
          <w:szCs w:val="21"/>
          <w:lang w:val="en-US" w:eastAsia="zh-CN"/>
        </w:rPr>
        <w:t xml:space="preserve">  </w:t>
      </w:r>
      <w:r>
        <w:rPr>
          <w:rFonts w:hint="eastAsia" w:ascii="宋体" w:hAnsi="宋体"/>
          <w:kern w:val="0"/>
          <w:szCs w:val="21"/>
        </w:rPr>
        <w:t>盾构始发、接收端头未进行加固即开始施工。</w:t>
      </w:r>
    </w:p>
    <w:p>
      <w:pPr>
        <w:spacing w:line="400" w:lineRule="exact"/>
        <w:ind w:right="-71" w:rightChars="-34"/>
        <w:rPr>
          <w:rFonts w:hint="eastAsia" w:ascii="宋体" w:hAnsi="宋体"/>
          <w:kern w:val="0"/>
          <w:szCs w:val="21"/>
        </w:rPr>
      </w:pPr>
      <w:r>
        <w:rPr>
          <w:rFonts w:hint="eastAsia" w:hAnsi="宋体"/>
          <w:b/>
          <w:szCs w:val="21"/>
        </w:rPr>
        <w:t>6.4.</w:t>
      </w:r>
      <w:r>
        <w:rPr>
          <w:rFonts w:hint="eastAsia" w:hAnsi="宋体"/>
          <w:b/>
          <w:szCs w:val="21"/>
          <w:lang w:val="en-US" w:eastAsia="zh-CN"/>
        </w:rPr>
        <w:t xml:space="preserve">2 </w:t>
      </w:r>
      <w:r>
        <w:rPr>
          <w:rFonts w:hint="eastAsia" w:ascii="宋体" w:hAnsi="宋体"/>
          <w:kern w:val="0"/>
          <w:szCs w:val="21"/>
        </w:rPr>
        <w:t>进入承压水层的盾构区间联络通道开口、泵房不按方案施工，作业面涌水涌沙，且监测数据已达到红色预警值。</w:t>
      </w:r>
    </w:p>
    <w:p>
      <w:pPr>
        <w:spacing w:line="400" w:lineRule="exact"/>
        <w:ind w:right="-71" w:rightChars="-34"/>
        <w:rPr>
          <w:rFonts w:hint="eastAsia" w:ascii="宋体" w:hAnsi="宋体"/>
          <w:kern w:val="0"/>
          <w:szCs w:val="21"/>
        </w:rPr>
      </w:pPr>
      <w:r>
        <w:rPr>
          <w:rFonts w:hint="eastAsia" w:hAnsi="宋体"/>
          <w:b/>
          <w:szCs w:val="21"/>
        </w:rPr>
        <w:t>6.4.</w:t>
      </w:r>
      <w:r>
        <w:rPr>
          <w:rFonts w:hint="eastAsia" w:hAnsi="宋体"/>
          <w:b/>
          <w:szCs w:val="21"/>
          <w:lang w:val="en-US" w:eastAsia="zh-CN"/>
        </w:rPr>
        <w:t xml:space="preserve">3  </w:t>
      </w:r>
      <w:r>
        <w:rPr>
          <w:rFonts w:hint="eastAsia" w:ascii="宋体" w:hAnsi="宋体"/>
          <w:kern w:val="0"/>
          <w:szCs w:val="21"/>
        </w:rPr>
        <w:t>盾构机组装及拆卸时，未编制专项吊装施工方案或方案未经专家论证。</w:t>
      </w:r>
    </w:p>
    <w:p>
      <w:pPr>
        <w:pStyle w:val="3"/>
        <w:spacing w:line="400" w:lineRule="exact"/>
        <w:rPr>
          <w:rFonts w:hint="eastAsia"/>
          <w:szCs w:val="24"/>
          <w:lang w:eastAsia="zh-CN"/>
        </w:rPr>
      </w:pPr>
      <w:bookmarkStart w:id="55" w:name="_Toc8154"/>
      <w:r>
        <w:rPr>
          <w:rFonts w:hint="eastAsia"/>
          <w:szCs w:val="24"/>
        </w:rPr>
        <w:t>6.</w:t>
      </w:r>
      <w:r>
        <w:rPr>
          <w:rFonts w:hint="eastAsia"/>
          <w:szCs w:val="24"/>
          <w:lang w:eastAsia="zh-CN"/>
        </w:rPr>
        <w:t>5</w:t>
      </w:r>
      <w:r>
        <w:rPr>
          <w:rFonts w:hint="eastAsia"/>
          <w:szCs w:val="24"/>
        </w:rPr>
        <w:t xml:space="preserve">  </w:t>
      </w:r>
      <w:r>
        <w:rPr>
          <w:rFonts w:hint="eastAsia"/>
          <w:szCs w:val="24"/>
          <w:lang w:eastAsia="zh-CN"/>
        </w:rPr>
        <w:t>起重吊装</w:t>
      </w:r>
      <w:bookmarkEnd w:id="55"/>
    </w:p>
    <w:p>
      <w:pPr>
        <w:spacing w:line="400" w:lineRule="exact"/>
        <w:ind w:right="-71" w:rightChars="-34"/>
        <w:rPr>
          <w:rFonts w:hint="eastAsia" w:ascii="宋体" w:hAnsi="宋体"/>
          <w:kern w:val="0"/>
          <w:szCs w:val="21"/>
        </w:rPr>
      </w:pPr>
      <w:r>
        <w:rPr>
          <w:rFonts w:hint="eastAsia" w:hAnsi="宋体"/>
          <w:b/>
          <w:szCs w:val="21"/>
        </w:rPr>
        <w:t>6.5.1</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群塔、同轨两台及以上龙门吊作业时，起重设备之间的安全距离不满足规范要求。</w:t>
      </w:r>
    </w:p>
    <w:p>
      <w:pPr>
        <w:spacing w:line="400" w:lineRule="exact"/>
        <w:ind w:right="-71" w:rightChars="-34"/>
        <w:rPr>
          <w:rFonts w:hint="eastAsia" w:ascii="宋体" w:hAnsi="宋体"/>
          <w:kern w:val="0"/>
          <w:szCs w:val="21"/>
        </w:rPr>
      </w:pPr>
      <w:r>
        <w:rPr>
          <w:rFonts w:hint="eastAsia" w:hAnsi="宋体"/>
          <w:b/>
          <w:szCs w:val="21"/>
        </w:rPr>
        <w:t>6.5.2</w:t>
      </w:r>
      <w:r>
        <w:rPr>
          <w:rFonts w:hint="eastAsia" w:hAnsi="宋体"/>
          <w:b/>
          <w:szCs w:val="21"/>
          <w:lang w:val="en-US" w:eastAsia="zh-CN"/>
        </w:rPr>
        <w:t xml:space="preserve">  </w:t>
      </w:r>
      <w:r>
        <w:rPr>
          <w:rFonts w:hint="eastAsia" w:ascii="宋体" w:hAnsi="宋体"/>
          <w:kern w:val="0"/>
          <w:szCs w:val="21"/>
        </w:rPr>
        <w:t>车站预留口、暗挖竖井进行吊装作业时未设置隔离或吊装作业区内有人作业。</w:t>
      </w:r>
    </w:p>
    <w:p>
      <w:pPr>
        <w:pStyle w:val="3"/>
        <w:rPr>
          <w:rFonts w:hint="eastAsia"/>
          <w:szCs w:val="24"/>
        </w:rPr>
      </w:pPr>
      <w:bookmarkStart w:id="56" w:name="_Toc22744"/>
      <w:r>
        <w:rPr>
          <w:rFonts w:hint="eastAsia"/>
          <w:szCs w:val="24"/>
          <w:lang w:eastAsia="zh-CN"/>
        </w:rPr>
        <w:t>6.6</w:t>
      </w:r>
      <w:r>
        <w:rPr>
          <w:rFonts w:hint="eastAsia"/>
          <w:szCs w:val="24"/>
        </w:rPr>
        <w:t xml:space="preserve">  </w:t>
      </w:r>
      <w:r>
        <w:rPr>
          <w:rFonts w:hint="eastAsia"/>
          <w:color w:val="000000"/>
          <w:kern w:val="44"/>
          <w:szCs w:val="24"/>
          <w:lang w:eastAsia="zh-CN"/>
        </w:rPr>
        <w:t>临时用电</w:t>
      </w:r>
      <w:bookmarkEnd w:id="56"/>
    </w:p>
    <w:p>
      <w:pPr>
        <w:spacing w:line="400" w:lineRule="exact"/>
        <w:ind w:right="-71" w:rightChars="-34"/>
        <w:rPr>
          <w:rFonts w:hint="eastAsia" w:ascii="宋体" w:hAnsi="宋体"/>
          <w:kern w:val="0"/>
          <w:szCs w:val="21"/>
        </w:rPr>
      </w:pPr>
      <w:bookmarkStart w:id="57" w:name="_Toc440371899"/>
      <w:bookmarkStart w:id="58" w:name="_Toc349114366"/>
      <w:bookmarkStart w:id="59" w:name="_Toc333407528"/>
      <w:bookmarkStart w:id="60" w:name="_Toc312309468"/>
      <w:r>
        <w:rPr>
          <w:rFonts w:hint="eastAsia" w:hAnsi="宋体"/>
          <w:b/>
          <w:szCs w:val="21"/>
        </w:rPr>
        <w:t>6.6.1</w:t>
      </w:r>
      <w:r>
        <w:rPr>
          <w:rFonts w:hint="eastAsia" w:hAnsi="宋体"/>
          <w:b/>
          <w:szCs w:val="21"/>
          <w:lang w:val="en-US" w:eastAsia="zh-CN"/>
        </w:rPr>
        <w:t xml:space="preserve">  </w:t>
      </w:r>
      <w:r>
        <w:rPr>
          <w:rFonts w:hint="eastAsia" w:ascii="宋体" w:hAnsi="宋体"/>
          <w:kern w:val="0"/>
          <w:szCs w:val="21"/>
        </w:rPr>
        <w:t>施工现场临时用电未采用TN-S接零保护系统。</w:t>
      </w:r>
    </w:p>
    <w:p>
      <w:pPr>
        <w:spacing w:line="400" w:lineRule="exact"/>
        <w:ind w:right="-71" w:rightChars="-34"/>
        <w:rPr>
          <w:rFonts w:hint="eastAsia" w:ascii="宋体" w:hAnsi="宋体"/>
          <w:kern w:val="0"/>
          <w:szCs w:val="21"/>
        </w:rPr>
      </w:pPr>
      <w:r>
        <w:rPr>
          <w:rFonts w:hint="eastAsia" w:hAnsi="宋体"/>
          <w:b/>
          <w:szCs w:val="21"/>
        </w:rPr>
        <w:t>6.6.2</w:t>
      </w:r>
      <w:r>
        <w:rPr>
          <w:rFonts w:hint="eastAsia" w:hAnsi="宋体"/>
          <w:b/>
          <w:szCs w:val="21"/>
          <w:lang w:val="en-US" w:eastAsia="zh-CN"/>
        </w:rPr>
        <w:t xml:space="preserve">  </w:t>
      </w:r>
      <w:r>
        <w:rPr>
          <w:rFonts w:hint="eastAsia" w:ascii="宋体" w:hAnsi="宋体"/>
          <w:kern w:val="0"/>
          <w:szCs w:val="21"/>
        </w:rPr>
        <w:t>未编制施工现场临时用电施工组织设计。</w:t>
      </w:r>
    </w:p>
    <w:p>
      <w:pPr>
        <w:spacing w:line="400" w:lineRule="exact"/>
        <w:ind w:right="-71" w:rightChars="-34"/>
        <w:rPr>
          <w:rFonts w:hint="eastAsia" w:ascii="宋体" w:hAnsi="宋体"/>
          <w:kern w:val="0"/>
          <w:szCs w:val="21"/>
        </w:rPr>
      </w:pPr>
      <w:r>
        <w:rPr>
          <w:rFonts w:hint="eastAsia" w:hAnsi="宋体"/>
          <w:b/>
          <w:szCs w:val="21"/>
        </w:rPr>
        <w:t>6.6.3</w:t>
      </w:r>
      <w:r>
        <w:rPr>
          <w:rFonts w:hint="eastAsia" w:hAnsi="宋体"/>
          <w:b/>
          <w:szCs w:val="21"/>
          <w:lang w:val="en-US" w:eastAsia="zh-CN"/>
        </w:rPr>
        <w:t xml:space="preserve">  </w:t>
      </w:r>
      <w:r>
        <w:rPr>
          <w:rFonts w:hint="eastAsia" w:ascii="宋体" w:hAnsi="宋体"/>
          <w:kern w:val="0"/>
          <w:szCs w:val="21"/>
        </w:rPr>
        <w:t>临时用电施工组织设计未对盾构施工用电进行专项说明。</w:t>
      </w:r>
    </w:p>
    <w:p>
      <w:pPr>
        <w:pStyle w:val="3"/>
        <w:spacing w:line="400" w:lineRule="exact"/>
        <w:rPr>
          <w:color w:val="000000"/>
          <w:kern w:val="44"/>
          <w:szCs w:val="24"/>
        </w:rPr>
      </w:pPr>
      <w:bookmarkStart w:id="61" w:name="_Toc12783"/>
      <w:r>
        <w:rPr>
          <w:rFonts w:hint="eastAsia"/>
          <w:color w:val="000000"/>
          <w:kern w:val="44"/>
          <w:szCs w:val="24"/>
        </w:rPr>
        <w:t>6.</w:t>
      </w:r>
      <w:r>
        <w:rPr>
          <w:rFonts w:hint="eastAsia"/>
          <w:color w:val="000000"/>
          <w:kern w:val="44"/>
          <w:szCs w:val="24"/>
          <w:lang w:eastAsia="zh-CN"/>
        </w:rPr>
        <w:t>7</w:t>
      </w:r>
      <w:r>
        <w:rPr>
          <w:rFonts w:hint="eastAsia"/>
          <w:color w:val="000000"/>
          <w:kern w:val="44"/>
          <w:szCs w:val="24"/>
          <w:lang w:val="en-US" w:eastAsia="zh-CN"/>
        </w:rPr>
        <w:t xml:space="preserve"> </w:t>
      </w:r>
      <w:r>
        <w:rPr>
          <w:rFonts w:hint="eastAsia"/>
          <w:color w:val="000000"/>
          <w:kern w:val="44"/>
          <w:szCs w:val="24"/>
        </w:rPr>
        <w:t xml:space="preserve"> </w:t>
      </w:r>
      <w:bookmarkEnd w:id="57"/>
      <w:bookmarkEnd w:id="58"/>
      <w:bookmarkEnd w:id="59"/>
      <w:bookmarkEnd w:id="60"/>
      <w:r>
        <w:rPr>
          <w:rFonts w:hint="eastAsia"/>
          <w:color w:val="000000"/>
          <w:kern w:val="44"/>
          <w:szCs w:val="24"/>
        </w:rPr>
        <w:t>消防安全</w:t>
      </w:r>
      <w:bookmarkEnd w:id="61"/>
    </w:p>
    <w:p>
      <w:pPr>
        <w:spacing w:line="400" w:lineRule="exact"/>
        <w:ind w:right="-71" w:rightChars="-34"/>
        <w:rPr>
          <w:rFonts w:hint="eastAsia" w:ascii="宋体" w:hAnsi="宋体"/>
          <w:kern w:val="0"/>
          <w:szCs w:val="21"/>
        </w:rPr>
      </w:pPr>
      <w:r>
        <w:rPr>
          <w:rFonts w:hint="eastAsia" w:hAnsi="宋体"/>
          <w:b/>
          <w:szCs w:val="21"/>
        </w:rPr>
        <w:t>6.7.1</w:t>
      </w:r>
      <w:r>
        <w:rPr>
          <w:rFonts w:hint="eastAsia" w:hAnsi="宋体"/>
          <w:b/>
          <w:szCs w:val="21"/>
          <w:lang w:val="en-US" w:eastAsia="zh-CN"/>
        </w:rPr>
        <w:t xml:space="preserve">  </w:t>
      </w:r>
      <w:r>
        <w:rPr>
          <w:rFonts w:hint="eastAsia" w:ascii="宋体" w:hAnsi="宋体"/>
          <w:kern w:val="0"/>
          <w:szCs w:val="21"/>
        </w:rPr>
        <w:t>宿舍、办公用房其建筑构件的燃烧性能等级未达到A级。</w:t>
      </w:r>
    </w:p>
    <w:p>
      <w:pPr>
        <w:spacing w:line="400" w:lineRule="exact"/>
        <w:ind w:right="-71" w:rightChars="-34"/>
        <w:rPr>
          <w:rFonts w:hint="eastAsia" w:hAnsi="宋体"/>
          <w:b/>
          <w:szCs w:val="21"/>
        </w:rPr>
      </w:pPr>
      <w:r>
        <w:rPr>
          <w:rFonts w:hint="eastAsia" w:hAnsi="宋体"/>
          <w:b/>
          <w:szCs w:val="21"/>
        </w:rPr>
        <w:t>6.7.2</w:t>
      </w:r>
      <w:r>
        <w:rPr>
          <w:rFonts w:hint="eastAsia" w:hAnsi="宋体"/>
          <w:b/>
          <w:szCs w:val="21"/>
          <w:lang w:val="en-US" w:eastAsia="zh-CN"/>
        </w:rPr>
        <w:t xml:space="preserve">  </w:t>
      </w:r>
      <w:r>
        <w:rPr>
          <w:rFonts w:hint="eastAsia" w:ascii="宋体" w:hAnsi="宋体"/>
          <w:kern w:val="0"/>
          <w:szCs w:val="21"/>
        </w:rPr>
        <w:t>施工现场未经审批进行动火作业且未设置动火监护人、未清理现场可燃物且未配备消防器材。</w:t>
      </w:r>
    </w:p>
    <w:p>
      <w:pPr>
        <w:pStyle w:val="3"/>
        <w:spacing w:line="400" w:lineRule="exact"/>
        <w:rPr>
          <w:color w:val="000000"/>
          <w:kern w:val="44"/>
          <w:szCs w:val="24"/>
          <w:lang w:eastAsia="zh-CN"/>
        </w:rPr>
      </w:pPr>
      <w:bookmarkStart w:id="62" w:name="_Toc27176"/>
      <w:r>
        <w:rPr>
          <w:rFonts w:hint="eastAsia"/>
          <w:color w:val="000000"/>
          <w:kern w:val="44"/>
          <w:szCs w:val="24"/>
        </w:rPr>
        <w:t>6.</w:t>
      </w:r>
      <w:r>
        <w:rPr>
          <w:rFonts w:hint="eastAsia"/>
          <w:color w:val="000000"/>
          <w:kern w:val="44"/>
          <w:szCs w:val="24"/>
          <w:lang w:eastAsia="zh-CN"/>
        </w:rPr>
        <w:t>8</w:t>
      </w:r>
      <w:r>
        <w:rPr>
          <w:rFonts w:hint="eastAsia"/>
          <w:color w:val="000000"/>
          <w:kern w:val="44"/>
          <w:szCs w:val="24"/>
        </w:rPr>
        <w:t xml:space="preserve">  </w:t>
      </w:r>
      <w:r>
        <w:rPr>
          <w:rFonts w:hint="eastAsia"/>
          <w:color w:val="000000"/>
          <w:kern w:val="44"/>
          <w:szCs w:val="24"/>
          <w:lang w:eastAsia="zh-CN"/>
        </w:rPr>
        <w:t>安全防护</w:t>
      </w:r>
      <w:bookmarkEnd w:id="62"/>
    </w:p>
    <w:p>
      <w:pPr>
        <w:spacing w:line="400" w:lineRule="exact"/>
        <w:ind w:right="-71" w:rightChars="-34"/>
        <w:rPr>
          <w:rFonts w:hint="eastAsia" w:ascii="宋体" w:hAnsi="宋体"/>
          <w:kern w:val="0"/>
          <w:szCs w:val="21"/>
        </w:rPr>
      </w:pPr>
      <w:r>
        <w:rPr>
          <w:rFonts w:hint="eastAsia" w:hAnsi="宋体"/>
          <w:b/>
          <w:szCs w:val="21"/>
        </w:rPr>
        <w:t>6.8.1</w:t>
      </w:r>
      <w:r>
        <w:rPr>
          <w:rFonts w:hint="eastAsia" w:hAnsi="宋体"/>
          <w:b/>
          <w:szCs w:val="21"/>
          <w:lang w:val="en-US" w:eastAsia="zh-CN"/>
        </w:rPr>
        <w:t xml:space="preserve">  </w:t>
      </w:r>
      <w:r>
        <w:rPr>
          <w:rFonts w:hint="eastAsia" w:ascii="宋体" w:hAnsi="宋体"/>
          <w:kern w:val="0"/>
          <w:szCs w:val="21"/>
        </w:rPr>
        <w:t>深基坑、暗挖竖井及横通道口、高架车站结构顶面施工区域内未设置临边防护设施。</w:t>
      </w:r>
    </w:p>
    <w:p>
      <w:pPr>
        <w:pStyle w:val="3"/>
        <w:spacing w:line="400" w:lineRule="exact"/>
        <w:rPr>
          <w:color w:val="000000"/>
          <w:kern w:val="44"/>
          <w:szCs w:val="24"/>
        </w:rPr>
      </w:pPr>
      <w:bookmarkStart w:id="63" w:name="_Toc18415"/>
      <w:r>
        <w:rPr>
          <w:rFonts w:hint="eastAsia"/>
          <w:color w:val="000000"/>
          <w:kern w:val="44"/>
          <w:szCs w:val="24"/>
        </w:rPr>
        <w:t>6.</w:t>
      </w:r>
      <w:r>
        <w:rPr>
          <w:rFonts w:hint="eastAsia"/>
          <w:color w:val="000000"/>
          <w:kern w:val="44"/>
          <w:szCs w:val="24"/>
          <w:lang w:val="en-US" w:eastAsia="zh-CN"/>
        </w:rPr>
        <w:t>9</w:t>
      </w:r>
      <w:r>
        <w:rPr>
          <w:rFonts w:hint="eastAsia"/>
          <w:color w:val="000000"/>
          <w:kern w:val="44"/>
          <w:szCs w:val="24"/>
        </w:rPr>
        <w:t xml:space="preserve">  </w:t>
      </w:r>
      <w:r>
        <w:rPr>
          <w:rFonts w:hint="eastAsia"/>
          <w:color w:val="000000"/>
          <w:kern w:val="44"/>
          <w:szCs w:val="24"/>
          <w:lang w:eastAsia="zh-CN"/>
        </w:rPr>
        <w:t>防汛</w:t>
      </w:r>
      <w:bookmarkEnd w:id="63"/>
    </w:p>
    <w:p>
      <w:pPr>
        <w:spacing w:line="400" w:lineRule="exact"/>
        <w:ind w:right="-71" w:rightChars="-34"/>
        <w:rPr>
          <w:rFonts w:hint="eastAsia" w:ascii="宋体" w:hAnsi="宋体"/>
          <w:kern w:val="0"/>
          <w:szCs w:val="21"/>
        </w:rPr>
      </w:pPr>
      <w:r>
        <w:rPr>
          <w:rFonts w:hint="eastAsia" w:hAnsi="宋体"/>
          <w:b/>
          <w:szCs w:val="21"/>
        </w:rPr>
        <w:t>6.9.1</w:t>
      </w:r>
      <w:r>
        <w:rPr>
          <w:rFonts w:hint="eastAsia" w:hAnsi="宋体"/>
          <w:b/>
          <w:szCs w:val="21"/>
          <w:lang w:val="en-US" w:eastAsia="zh-CN"/>
        </w:rPr>
        <w:t xml:space="preserve">  </w:t>
      </w:r>
      <w:r>
        <w:rPr>
          <w:rFonts w:hint="eastAsia" w:ascii="宋体" w:hAnsi="宋体"/>
          <w:kern w:val="0"/>
          <w:szCs w:val="21"/>
        </w:rPr>
        <w:t>与既有线接驳处施工未编制应急预案。</w:t>
      </w:r>
    </w:p>
    <w:p>
      <w:pPr>
        <w:spacing w:line="400" w:lineRule="exact"/>
        <w:ind w:right="-71" w:rightChars="-34"/>
        <w:rPr>
          <w:rFonts w:hint="eastAsia" w:ascii="宋体" w:hAnsi="宋体"/>
          <w:kern w:val="0"/>
          <w:szCs w:val="21"/>
        </w:rPr>
      </w:pPr>
      <w:r>
        <w:rPr>
          <w:rFonts w:hint="eastAsia" w:hAnsi="宋体"/>
          <w:b/>
          <w:szCs w:val="21"/>
        </w:rPr>
        <w:t>6.9.2</w:t>
      </w:r>
      <w:r>
        <w:rPr>
          <w:rFonts w:hint="eastAsia" w:hAnsi="宋体"/>
          <w:b/>
          <w:szCs w:val="21"/>
          <w:lang w:val="en-US" w:eastAsia="zh-CN"/>
        </w:rPr>
        <w:t xml:space="preserve">  </w:t>
      </w:r>
      <w:r>
        <w:rPr>
          <w:rFonts w:hint="eastAsia" w:ascii="宋体" w:hAnsi="宋体"/>
          <w:kern w:val="0"/>
          <w:szCs w:val="21"/>
        </w:rPr>
        <w:t>汛期未对已排查出的与工程连通的废弃管线进行封堵。</w:t>
      </w:r>
    </w:p>
    <w:p>
      <w:pPr>
        <w:pStyle w:val="2"/>
        <w:rPr>
          <w:rFonts w:hint="eastAsia" w:eastAsia="宋体"/>
          <w:kern w:val="0"/>
          <w:lang w:eastAsia="zh-CN"/>
        </w:rPr>
      </w:pPr>
      <w:r>
        <w:rPr>
          <w:rFonts w:hint="eastAsia" w:ascii="宋体" w:hAnsi="宋体"/>
          <w:kern w:val="0"/>
          <w:szCs w:val="21"/>
        </w:rPr>
        <w:br w:type="page"/>
      </w:r>
      <w:bookmarkEnd w:id="51"/>
      <w:bookmarkEnd w:id="52"/>
      <w:bookmarkEnd w:id="53"/>
      <w:bookmarkStart w:id="64" w:name="_Toc26742"/>
      <w:r>
        <w:rPr>
          <w:rFonts w:hint="eastAsia"/>
          <w:kern w:val="0"/>
        </w:rPr>
        <w:t>7</w:t>
      </w:r>
      <w:r>
        <w:rPr>
          <w:rFonts w:hint="eastAsia"/>
          <w:kern w:val="0"/>
          <w:lang w:eastAsia="zh-CN"/>
        </w:rPr>
        <w:t xml:space="preserve">  </w:t>
      </w:r>
      <w:r>
        <w:rPr>
          <w:rFonts w:hint="eastAsia"/>
          <w:kern w:val="0"/>
        </w:rPr>
        <w:t>拆除工程</w:t>
      </w:r>
      <w:bookmarkEnd w:id="64"/>
      <w:r>
        <w:rPr>
          <w:rFonts w:hint="eastAsia"/>
          <w:kern w:val="0"/>
          <w:lang w:eastAsia="zh-CN"/>
        </w:rPr>
        <w:t>重大生产安全事故隐患</w:t>
      </w:r>
    </w:p>
    <w:p>
      <w:pPr>
        <w:pStyle w:val="3"/>
        <w:rPr>
          <w:rFonts w:hint="eastAsia"/>
        </w:rPr>
      </w:pPr>
      <w:bookmarkStart w:id="65" w:name="_Toc12734"/>
      <w:bookmarkStart w:id="66" w:name="_Toc333407531"/>
      <w:bookmarkStart w:id="67" w:name="_Toc349114368"/>
      <w:r>
        <w:rPr>
          <w:rFonts w:hint="eastAsia"/>
        </w:rPr>
        <w:t>7</w:t>
      </w:r>
      <w:r>
        <w:t>.</w:t>
      </w:r>
      <w:r>
        <w:rPr>
          <w:rFonts w:hint="eastAsia"/>
        </w:rPr>
        <w:t>1</w:t>
      </w:r>
      <w:r>
        <w:t xml:space="preserve">  </w:t>
      </w:r>
      <w:r>
        <w:rPr>
          <w:rFonts w:hint="eastAsia"/>
          <w:lang w:eastAsia="zh-CN"/>
        </w:rPr>
        <w:t>施工准备</w:t>
      </w:r>
      <w:bookmarkEnd w:id="65"/>
    </w:p>
    <w:bookmarkEnd w:id="66"/>
    <w:bookmarkEnd w:id="67"/>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1  </w:t>
      </w:r>
      <w:r>
        <w:rPr>
          <w:rFonts w:hint="eastAsia" w:hAnsi="宋体"/>
          <w:szCs w:val="21"/>
        </w:rPr>
        <w:t>拆除施工前，未对周边自然条件及环境状况进行调查。</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2  </w:t>
      </w:r>
      <w:r>
        <w:rPr>
          <w:rFonts w:hint="eastAsia" w:hAnsi="宋体"/>
          <w:szCs w:val="21"/>
        </w:rPr>
        <w:t>采用大型机械自上而下逐层破碎拆除时，未对下部结构承载力进行验算，未搭设有效的临边安全防护措施。</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.3  </w:t>
      </w:r>
      <w:r>
        <w:rPr>
          <w:rFonts w:hint="eastAsia" w:hAnsi="宋体"/>
          <w:szCs w:val="21"/>
        </w:rPr>
        <w:t>吊装作业区地基承载力不足，</w:t>
      </w:r>
      <w:r>
        <w:rPr>
          <w:rFonts w:hAnsi="宋体"/>
          <w:szCs w:val="21"/>
        </w:rPr>
        <w:t>汽车吊支腿支放不符合要求</w:t>
      </w:r>
      <w:r>
        <w:rPr>
          <w:rFonts w:hint="eastAsia" w:hAnsi="宋体"/>
          <w:szCs w:val="21"/>
        </w:rPr>
        <w:t>。</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4 </w:t>
      </w:r>
      <w:r>
        <w:rPr>
          <w:rFonts w:hint="eastAsia" w:hAnsi="宋体"/>
          <w:b/>
          <w:szCs w:val="21"/>
        </w:rPr>
        <w:t xml:space="preserve"> </w:t>
      </w:r>
      <w:r>
        <w:rPr>
          <w:rFonts w:hint="eastAsia" w:hAnsi="宋体"/>
          <w:szCs w:val="21"/>
        </w:rPr>
        <w:t>未切断拆除区域内的带电电源、电线、电缆和电器，对带有电容性的电气线路未按规定进行对地放电。</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5  </w:t>
      </w:r>
      <w:r>
        <w:rPr>
          <w:rFonts w:hint="eastAsia" w:hAnsi="宋体"/>
          <w:szCs w:val="21"/>
        </w:rPr>
        <w:t>外电线路与现场道路设施、起重机械之间的安全距离不符合规范要求且未采取防护措施。</w:t>
      </w:r>
      <w:r>
        <w:rPr>
          <w:rFonts w:hAnsi="宋体"/>
          <w:szCs w:val="21"/>
        </w:rPr>
        <w:t xml:space="preserve"> </w:t>
      </w:r>
    </w:p>
    <w:p>
      <w:pPr>
        <w:spacing w:line="400" w:lineRule="exact"/>
        <w:ind w:right="-71" w:rightChars="-34"/>
        <w:rPr>
          <w:rFonts w:hint="eastAsia"/>
          <w:szCs w:val="21"/>
        </w:rPr>
      </w:pPr>
      <w:r>
        <w:rPr>
          <w:rFonts w:hAnsi="宋体"/>
          <w:b/>
          <w:szCs w:val="21"/>
        </w:rPr>
        <w:t>7</w:t>
      </w:r>
      <w:r>
        <w:rPr>
          <w:rFonts w:hint="eastAsia" w:hAnsi="宋体"/>
          <w:b/>
          <w:szCs w:val="21"/>
        </w:rPr>
        <w:t>.1.</w:t>
      </w:r>
      <w:r>
        <w:rPr>
          <w:rFonts w:hAnsi="宋体"/>
          <w:b/>
          <w:szCs w:val="21"/>
        </w:rPr>
        <w:t xml:space="preserve">6  </w:t>
      </w:r>
      <w:r>
        <w:rPr>
          <w:rFonts w:hint="eastAsia" w:hAnsi="宋体"/>
          <w:szCs w:val="21"/>
        </w:rPr>
        <w:t>建筑物外围及施工区域未搭设硬质围挡，未封闭作业、影响道路交通安全。</w:t>
      </w:r>
    </w:p>
    <w:p>
      <w:pPr>
        <w:pStyle w:val="3"/>
        <w:rPr>
          <w:kern w:val="0"/>
        </w:rPr>
      </w:pPr>
      <w:bookmarkStart w:id="68" w:name="_Toc3069"/>
      <w:r>
        <w:rPr>
          <w:rFonts w:hint="eastAsia"/>
          <w:kern w:val="0"/>
        </w:rPr>
        <w:t xml:space="preserve">7.2  </w:t>
      </w:r>
      <w:r>
        <w:rPr>
          <w:rFonts w:hint="eastAsia"/>
          <w:kern w:val="0"/>
          <w:lang w:eastAsia="zh-CN"/>
        </w:rPr>
        <w:t>施工过程管理</w:t>
      </w:r>
      <w:bookmarkEnd w:id="68"/>
    </w:p>
    <w:p>
      <w:pPr>
        <w:spacing w:line="400" w:lineRule="exact"/>
        <w:ind w:right="-71" w:rightChars="-34"/>
        <w:rPr>
          <w:rFonts w:hAnsi="宋体"/>
          <w:b/>
          <w:szCs w:val="21"/>
        </w:rPr>
      </w:pPr>
      <w:r>
        <w:rPr>
          <w:rFonts w:hAnsi="宋体"/>
          <w:b/>
          <w:szCs w:val="21"/>
        </w:rPr>
        <w:t>7</w:t>
      </w:r>
      <w:r>
        <w:rPr>
          <w:rFonts w:hint="eastAsia" w:hAnsi="宋体"/>
          <w:b/>
          <w:szCs w:val="21"/>
        </w:rPr>
        <w:t>.2.</w:t>
      </w:r>
      <w:r>
        <w:rPr>
          <w:rFonts w:hAnsi="宋体"/>
          <w:b/>
          <w:szCs w:val="21"/>
        </w:rPr>
        <w:t xml:space="preserve">1  </w:t>
      </w:r>
      <w:r>
        <w:rPr>
          <w:rFonts w:hint="eastAsia" w:hAnsi="宋体"/>
          <w:szCs w:val="21"/>
        </w:rPr>
        <w:t>整体性拆除</w:t>
      </w:r>
    </w:p>
    <w:p>
      <w:pPr>
        <w:spacing w:line="400" w:lineRule="exact"/>
        <w:ind w:right="-71" w:rightChars="-34"/>
        <w:rPr>
          <w:rFonts w:hAnsi="宋体"/>
          <w:szCs w:val="21"/>
        </w:rPr>
      </w:pPr>
      <w:r>
        <w:rPr>
          <w:rFonts w:hAnsi="宋体"/>
          <w:b/>
          <w:szCs w:val="21"/>
        </w:rPr>
        <w:t>7</w:t>
      </w:r>
      <w:r>
        <w:rPr>
          <w:rFonts w:hint="eastAsia" w:hAnsi="宋体"/>
          <w:b/>
          <w:szCs w:val="21"/>
        </w:rPr>
        <w:t>.2.1.1</w:t>
      </w:r>
      <w:r>
        <w:rPr>
          <w:rFonts w:hint="eastAsia" w:hAnsi="宋体"/>
          <w:szCs w:val="21"/>
        </w:rPr>
        <w:t>拆除顺序及方法不符合规范和方案要求。</w:t>
      </w:r>
    </w:p>
    <w:p>
      <w:pPr>
        <w:spacing w:line="400" w:lineRule="exact"/>
        <w:ind w:right="-71" w:rightChars="-34"/>
        <w:rPr>
          <w:rFonts w:hAnsi="宋体"/>
          <w:szCs w:val="21"/>
        </w:rPr>
      </w:pPr>
      <w:r>
        <w:rPr>
          <w:rFonts w:hAnsi="宋体"/>
          <w:b/>
          <w:szCs w:val="21"/>
        </w:rPr>
        <w:t>7</w:t>
      </w:r>
      <w:r>
        <w:rPr>
          <w:rFonts w:hint="eastAsia" w:hAnsi="宋体"/>
          <w:b/>
          <w:szCs w:val="21"/>
        </w:rPr>
        <w:t>.2.1.2</w:t>
      </w:r>
      <w:r>
        <w:rPr>
          <w:rFonts w:hint="eastAsia" w:hAnsi="宋体"/>
          <w:szCs w:val="21"/>
        </w:rPr>
        <w:t>人工拆除建筑墙体时，采用底部掏掘或推倒的方法。</w:t>
      </w:r>
    </w:p>
    <w:p>
      <w:pPr>
        <w:spacing w:line="400" w:lineRule="exact"/>
        <w:ind w:right="-71" w:rightChars="-34"/>
        <w:rPr>
          <w:rFonts w:hAnsi="宋体"/>
          <w:szCs w:val="21"/>
        </w:rPr>
      </w:pPr>
      <w:r>
        <w:rPr>
          <w:rFonts w:hAnsi="宋体"/>
          <w:b/>
          <w:szCs w:val="21"/>
        </w:rPr>
        <w:t>7</w:t>
      </w:r>
      <w:r>
        <w:rPr>
          <w:rFonts w:hint="eastAsia" w:hAnsi="宋体"/>
          <w:b/>
          <w:szCs w:val="21"/>
        </w:rPr>
        <w:t>.2.1.</w:t>
      </w:r>
      <w:r>
        <w:rPr>
          <w:rFonts w:hAnsi="宋体"/>
          <w:b/>
          <w:szCs w:val="21"/>
        </w:rPr>
        <w:t>3</w:t>
      </w:r>
      <w:r>
        <w:rPr>
          <w:rFonts w:hint="eastAsia" w:hAnsi="宋体"/>
          <w:szCs w:val="21"/>
        </w:rPr>
        <w:t>拆除工程施工中，未对拟拆除物的稳定状态进行监测，对于可能倾倒的构筑物未采取加固措施。</w:t>
      </w:r>
    </w:p>
    <w:p>
      <w:pPr>
        <w:spacing w:line="400" w:lineRule="exact"/>
        <w:ind w:right="-71" w:rightChars="-34"/>
        <w:rPr>
          <w:rFonts w:hAnsi="宋体"/>
          <w:szCs w:val="21"/>
        </w:rPr>
      </w:pPr>
      <w:r>
        <w:rPr>
          <w:rFonts w:hAnsi="宋体"/>
          <w:b/>
          <w:szCs w:val="21"/>
        </w:rPr>
        <w:t>7</w:t>
      </w:r>
      <w:r>
        <w:rPr>
          <w:rFonts w:hint="eastAsia" w:hAnsi="宋体"/>
          <w:b/>
          <w:szCs w:val="21"/>
        </w:rPr>
        <w:t>.2</w:t>
      </w:r>
      <w:r>
        <w:rPr>
          <w:rFonts w:hAnsi="宋体"/>
          <w:b/>
          <w:szCs w:val="21"/>
        </w:rPr>
        <w:t>.</w:t>
      </w:r>
      <w:r>
        <w:rPr>
          <w:rFonts w:hint="eastAsia" w:hAnsi="宋体"/>
          <w:b/>
          <w:szCs w:val="21"/>
        </w:rPr>
        <w:t>1</w:t>
      </w:r>
      <w:r>
        <w:rPr>
          <w:rFonts w:hAnsi="宋体"/>
          <w:b/>
          <w:szCs w:val="21"/>
        </w:rPr>
        <w:t>.</w:t>
      </w:r>
      <w:r>
        <w:rPr>
          <w:rFonts w:hint="eastAsia" w:hAnsi="宋体"/>
          <w:b/>
          <w:szCs w:val="21"/>
        </w:rPr>
        <w:t>4</w:t>
      </w:r>
      <w:r>
        <w:rPr>
          <w:rFonts w:hint="eastAsia" w:hAnsi="宋体"/>
          <w:szCs w:val="21"/>
        </w:rPr>
        <w:t>流动式起重机</w:t>
      </w:r>
      <w:r>
        <w:rPr>
          <w:rFonts w:hAnsi="宋体"/>
          <w:szCs w:val="21"/>
        </w:rPr>
        <w:t>超载</w:t>
      </w:r>
      <w:r>
        <w:rPr>
          <w:rFonts w:hint="eastAsia" w:hAnsi="宋体"/>
          <w:szCs w:val="21"/>
        </w:rPr>
        <w:t>、</w:t>
      </w:r>
      <w:r>
        <w:rPr>
          <w:rFonts w:hAnsi="宋体"/>
          <w:szCs w:val="21"/>
        </w:rPr>
        <w:t>超速作业</w:t>
      </w:r>
      <w:r>
        <w:rPr>
          <w:rFonts w:hint="eastAsia" w:hAnsi="宋体"/>
          <w:szCs w:val="21"/>
        </w:rPr>
        <w:t>，</w:t>
      </w:r>
      <w:r>
        <w:rPr>
          <w:rFonts w:hAnsi="宋体"/>
          <w:szCs w:val="21"/>
        </w:rPr>
        <w:t>或任意扩大使用范围</w:t>
      </w:r>
      <w:r>
        <w:rPr>
          <w:rFonts w:hint="eastAsia" w:hAnsi="宋体"/>
          <w:szCs w:val="21"/>
        </w:rPr>
        <w:t>。</w:t>
      </w:r>
    </w:p>
    <w:p>
      <w:pPr>
        <w:spacing w:line="400" w:lineRule="exact"/>
        <w:ind w:right="-71" w:rightChars="-34"/>
        <w:rPr>
          <w:rFonts w:hAnsi="宋体"/>
          <w:szCs w:val="21"/>
        </w:rPr>
      </w:pPr>
      <w:r>
        <w:rPr>
          <w:rFonts w:hAnsi="宋体"/>
          <w:b/>
          <w:szCs w:val="21"/>
        </w:rPr>
        <w:t>7</w:t>
      </w:r>
      <w:r>
        <w:rPr>
          <w:rFonts w:hint="eastAsia" w:hAnsi="宋体"/>
          <w:b/>
          <w:szCs w:val="21"/>
        </w:rPr>
        <w:t>.2.1.5</w:t>
      </w:r>
      <w:r>
        <w:rPr>
          <w:rFonts w:hint="eastAsia" w:hAnsi="宋体"/>
          <w:szCs w:val="21"/>
        </w:rPr>
        <w:t>拆除屋架等大型构件的吊运过程中，未采用辅助措施使被吊物处于稳定状态。</w:t>
      </w:r>
    </w:p>
    <w:p>
      <w:pPr>
        <w:spacing w:line="400" w:lineRule="exact"/>
        <w:ind w:right="-71" w:rightChars="-34"/>
        <w:rPr>
          <w:rFonts w:hAnsi="宋体"/>
          <w:szCs w:val="21"/>
        </w:rPr>
      </w:pPr>
      <w:r>
        <w:rPr>
          <w:rFonts w:hAnsi="宋体"/>
          <w:b/>
          <w:szCs w:val="21"/>
        </w:rPr>
        <w:t>7</w:t>
      </w:r>
      <w:r>
        <w:rPr>
          <w:rFonts w:hint="eastAsia" w:hAnsi="宋体"/>
          <w:b/>
          <w:szCs w:val="21"/>
        </w:rPr>
        <w:t>.2</w:t>
      </w:r>
      <w:r>
        <w:rPr>
          <w:rFonts w:hAnsi="宋体"/>
          <w:b/>
          <w:szCs w:val="21"/>
        </w:rPr>
        <w:t>.</w:t>
      </w:r>
      <w:r>
        <w:rPr>
          <w:rFonts w:hint="eastAsia" w:hAnsi="宋体"/>
          <w:b/>
          <w:szCs w:val="21"/>
        </w:rPr>
        <w:t>1</w:t>
      </w:r>
      <w:r>
        <w:rPr>
          <w:rFonts w:hAnsi="宋体"/>
          <w:b/>
          <w:szCs w:val="21"/>
        </w:rPr>
        <w:t>.</w:t>
      </w:r>
      <w:r>
        <w:rPr>
          <w:rFonts w:hint="eastAsia" w:hAnsi="宋体"/>
          <w:b/>
          <w:szCs w:val="21"/>
        </w:rPr>
        <w:t>6</w:t>
      </w:r>
      <w:r>
        <w:rPr>
          <w:rFonts w:hint="eastAsia" w:hAnsi="宋体"/>
          <w:szCs w:val="21"/>
        </w:rPr>
        <w:t>破拆机</w:t>
      </w:r>
      <w:r>
        <w:rPr>
          <w:rFonts w:hAnsi="宋体"/>
          <w:szCs w:val="21"/>
        </w:rPr>
        <w:t>前端工作装置的作业高度低于拟拆除建筑物高度</w:t>
      </w:r>
      <w:r>
        <w:rPr>
          <w:rFonts w:hint="eastAsia" w:hAnsi="宋体"/>
          <w:szCs w:val="21"/>
        </w:rPr>
        <w:t>，</w:t>
      </w:r>
      <w:r>
        <w:rPr>
          <w:rFonts w:hAnsi="宋体"/>
          <w:szCs w:val="21"/>
        </w:rPr>
        <w:t>或与拆除物安全距离不足</w:t>
      </w:r>
      <w:r>
        <w:rPr>
          <w:rFonts w:hint="eastAsia" w:hAnsi="宋体"/>
          <w:szCs w:val="21"/>
        </w:rPr>
        <w:t>。</w:t>
      </w:r>
    </w:p>
    <w:p>
      <w:pPr>
        <w:spacing w:line="400" w:lineRule="exact"/>
        <w:ind w:right="-71" w:rightChars="-34"/>
        <w:rPr>
          <w:rFonts w:hAnsi="宋体"/>
          <w:b/>
          <w:szCs w:val="21"/>
        </w:rPr>
      </w:pPr>
      <w:r>
        <w:rPr>
          <w:rFonts w:hAnsi="宋体"/>
          <w:b/>
          <w:szCs w:val="21"/>
        </w:rPr>
        <w:t>7</w:t>
      </w:r>
      <w:r>
        <w:rPr>
          <w:rFonts w:hint="eastAsia" w:hAnsi="宋体"/>
          <w:b/>
          <w:szCs w:val="21"/>
        </w:rPr>
        <w:t>.2.2</w:t>
      </w:r>
      <w:r>
        <w:rPr>
          <w:rFonts w:hAnsi="宋体"/>
          <w:b/>
          <w:szCs w:val="21"/>
        </w:rPr>
        <w:t xml:space="preserve">  </w:t>
      </w:r>
      <w:r>
        <w:rPr>
          <w:rFonts w:hint="eastAsia" w:hAnsi="宋体"/>
          <w:szCs w:val="21"/>
        </w:rPr>
        <w:t>保护性拆除</w:t>
      </w:r>
    </w:p>
    <w:p>
      <w:pPr>
        <w:spacing w:line="400" w:lineRule="exact"/>
        <w:ind w:right="-71" w:rightChars="-34"/>
        <w:rPr>
          <w:rFonts w:hAnsi="宋体"/>
          <w:szCs w:val="21"/>
        </w:rPr>
      </w:pPr>
      <w:r>
        <w:rPr>
          <w:rFonts w:hAnsi="宋体"/>
          <w:b/>
          <w:szCs w:val="21"/>
        </w:rPr>
        <w:t>7</w:t>
      </w:r>
      <w:r>
        <w:rPr>
          <w:rFonts w:hint="eastAsia" w:hAnsi="宋体"/>
          <w:b/>
          <w:szCs w:val="21"/>
        </w:rPr>
        <w:t>.2.2.1</w:t>
      </w:r>
      <w:r>
        <w:rPr>
          <w:rFonts w:hint="eastAsia" w:hAnsi="宋体"/>
          <w:szCs w:val="21"/>
        </w:rPr>
        <w:t>局部拆除未对结构安全进行验算，或验算不满足要求时，未进行加固处理。</w:t>
      </w:r>
    </w:p>
    <w:p>
      <w:pPr>
        <w:spacing w:line="400" w:lineRule="exact"/>
        <w:ind w:right="-71" w:rightChars="-34"/>
        <w:rPr>
          <w:rFonts w:hAnsi="宋体"/>
          <w:szCs w:val="21"/>
        </w:rPr>
      </w:pPr>
      <w:r>
        <w:rPr>
          <w:rFonts w:hAnsi="宋体"/>
          <w:b/>
          <w:szCs w:val="21"/>
        </w:rPr>
        <w:t>7</w:t>
      </w:r>
      <w:r>
        <w:rPr>
          <w:rFonts w:hint="eastAsia" w:hAnsi="宋体"/>
          <w:b/>
          <w:szCs w:val="21"/>
        </w:rPr>
        <w:t>.2.2.2</w:t>
      </w:r>
      <w:r>
        <w:rPr>
          <w:rFonts w:hint="eastAsia" w:hAnsi="宋体"/>
          <w:szCs w:val="21"/>
        </w:rPr>
        <w:t>地下管线、重要道路及建（构）筑物存在严重变形、位移、损坏时未及时停止作业。</w:t>
      </w:r>
    </w:p>
    <w:p>
      <w:pPr>
        <w:spacing w:line="400" w:lineRule="exact"/>
        <w:ind w:right="-71" w:rightChars="-34"/>
        <w:rPr>
          <w:rFonts w:hAnsi="宋体"/>
          <w:b/>
          <w:szCs w:val="21"/>
        </w:rPr>
      </w:pPr>
      <w:r>
        <w:rPr>
          <w:rFonts w:hAnsi="宋体"/>
          <w:b/>
          <w:szCs w:val="21"/>
        </w:rPr>
        <w:t>7</w:t>
      </w:r>
      <w:r>
        <w:rPr>
          <w:rFonts w:hint="eastAsia" w:hAnsi="宋体"/>
          <w:b/>
          <w:szCs w:val="21"/>
        </w:rPr>
        <w:t>.2.3</w:t>
      </w:r>
      <w:r>
        <w:rPr>
          <w:rFonts w:hAnsi="宋体"/>
          <w:b/>
          <w:szCs w:val="21"/>
        </w:rPr>
        <w:t xml:space="preserve"> </w:t>
      </w:r>
      <w:r>
        <w:rPr>
          <w:rFonts w:hAnsi="宋体"/>
          <w:szCs w:val="21"/>
        </w:rPr>
        <w:t xml:space="preserve"> </w:t>
      </w:r>
      <w:r>
        <w:rPr>
          <w:rFonts w:hint="eastAsia" w:hAnsi="宋体"/>
          <w:szCs w:val="21"/>
        </w:rPr>
        <w:t>爆破拆除</w:t>
      </w:r>
    </w:p>
    <w:p>
      <w:pPr>
        <w:spacing w:line="400" w:lineRule="exact"/>
        <w:ind w:right="-71" w:rightChars="-34"/>
        <w:rPr>
          <w:rFonts w:hAnsi="宋体"/>
          <w:szCs w:val="21"/>
        </w:rPr>
      </w:pPr>
      <w:r>
        <w:rPr>
          <w:rFonts w:hAnsi="宋体"/>
          <w:b/>
          <w:szCs w:val="21"/>
        </w:rPr>
        <w:t>7</w:t>
      </w:r>
      <w:r>
        <w:rPr>
          <w:rFonts w:hint="eastAsia" w:hAnsi="宋体"/>
          <w:b/>
          <w:szCs w:val="21"/>
        </w:rPr>
        <w:t>.2.3.1</w:t>
      </w:r>
      <w:r>
        <w:rPr>
          <w:rFonts w:hint="eastAsia" w:hAnsi="宋体"/>
          <w:szCs w:val="21"/>
        </w:rPr>
        <w:t>爆破现场设置的临时存放点不满足安全要求，起爆器材与炸药混合存放。</w:t>
      </w:r>
    </w:p>
    <w:p>
      <w:pPr>
        <w:spacing w:line="400" w:lineRule="exact"/>
        <w:ind w:right="-71" w:rightChars="-34"/>
        <w:rPr>
          <w:rFonts w:hAnsi="宋体"/>
          <w:szCs w:val="21"/>
        </w:rPr>
      </w:pPr>
      <w:r>
        <w:rPr>
          <w:rFonts w:hAnsi="宋体"/>
          <w:b/>
          <w:szCs w:val="21"/>
        </w:rPr>
        <w:t>7</w:t>
      </w:r>
      <w:r>
        <w:rPr>
          <w:rFonts w:hint="eastAsia" w:hAnsi="宋体"/>
          <w:b/>
          <w:szCs w:val="21"/>
        </w:rPr>
        <w:t>.2.3.2</w:t>
      </w:r>
      <w:r>
        <w:rPr>
          <w:rFonts w:hint="eastAsia" w:hAnsi="宋体"/>
          <w:szCs w:val="21"/>
        </w:rPr>
        <w:t>爆破拆除未设置安全警戒或安全警戒的范围不符合设计要求。</w:t>
      </w:r>
    </w:p>
    <w:p>
      <w:pPr>
        <w:spacing w:line="400" w:lineRule="exact"/>
        <w:ind w:right="-71" w:rightChars="-34"/>
        <w:rPr>
          <w:rFonts w:hAnsi="宋体"/>
          <w:szCs w:val="21"/>
        </w:rPr>
      </w:pPr>
      <w:r>
        <w:rPr>
          <w:rFonts w:hAnsi="宋体"/>
          <w:b/>
          <w:szCs w:val="21"/>
        </w:rPr>
        <w:t>7</w:t>
      </w:r>
      <w:r>
        <w:rPr>
          <w:rFonts w:hint="eastAsia" w:hAnsi="宋体"/>
          <w:b/>
          <w:szCs w:val="21"/>
        </w:rPr>
        <w:t>.2.3.3</w:t>
      </w:r>
      <w:r>
        <w:rPr>
          <w:rFonts w:hint="eastAsia" w:hAnsi="宋体"/>
          <w:szCs w:val="21"/>
        </w:rPr>
        <w:t>爆破拆除的预拆除施工影响建筑结构的安全和稳定。</w:t>
      </w:r>
    </w:p>
    <w:p>
      <w:pPr>
        <w:spacing w:line="400" w:lineRule="exact"/>
        <w:ind w:right="-71" w:rightChars="-34"/>
        <w:rPr>
          <w:rFonts w:hAnsi="宋体"/>
          <w:szCs w:val="21"/>
        </w:rPr>
      </w:pPr>
      <w:r>
        <w:rPr>
          <w:rFonts w:hAnsi="宋体"/>
          <w:b/>
          <w:szCs w:val="21"/>
        </w:rPr>
        <w:t>7</w:t>
      </w:r>
      <w:r>
        <w:rPr>
          <w:rFonts w:hint="eastAsia" w:hAnsi="宋体"/>
          <w:b/>
          <w:szCs w:val="21"/>
        </w:rPr>
        <w:t>.2.3.4</w:t>
      </w:r>
      <w:r>
        <w:rPr>
          <w:rFonts w:hint="eastAsia" w:hAnsi="宋体"/>
          <w:szCs w:val="21"/>
        </w:rPr>
        <w:t>装药时冲击、挤压药包，或采用投掷方式安装药包。</w:t>
      </w:r>
    </w:p>
    <w:p>
      <w:pPr>
        <w:spacing w:line="400" w:lineRule="exact"/>
        <w:ind w:right="-71" w:rightChars="-34"/>
        <w:rPr>
          <w:rFonts w:hAnsi="宋体"/>
          <w:szCs w:val="21"/>
        </w:rPr>
      </w:pPr>
      <w:r>
        <w:rPr>
          <w:rFonts w:hAnsi="宋体"/>
          <w:b/>
          <w:szCs w:val="21"/>
        </w:rPr>
        <w:t>7</w:t>
      </w:r>
      <w:r>
        <w:rPr>
          <w:rFonts w:hint="eastAsia" w:hAnsi="宋体"/>
          <w:b/>
          <w:szCs w:val="21"/>
        </w:rPr>
        <w:t>.2.3.5</w:t>
      </w:r>
      <w:r>
        <w:rPr>
          <w:rFonts w:hint="eastAsia" w:hAnsi="宋体"/>
          <w:szCs w:val="21"/>
        </w:rPr>
        <w:t>起爆前未对起爆网路进行检查。</w:t>
      </w:r>
    </w:p>
    <w:p>
      <w:pPr>
        <w:spacing w:line="400" w:lineRule="exact"/>
        <w:ind w:right="-71" w:rightChars="-34"/>
        <w:rPr>
          <w:rFonts w:hAnsi="宋体"/>
          <w:szCs w:val="21"/>
        </w:rPr>
      </w:pPr>
      <w:r>
        <w:rPr>
          <w:rFonts w:hAnsi="宋体"/>
          <w:b/>
          <w:szCs w:val="21"/>
        </w:rPr>
        <w:t>7</w:t>
      </w:r>
      <w:r>
        <w:rPr>
          <w:rFonts w:hint="eastAsia" w:hAnsi="宋体"/>
          <w:b/>
          <w:szCs w:val="21"/>
        </w:rPr>
        <w:t>.2.3.6</w:t>
      </w:r>
      <w:r>
        <w:rPr>
          <w:rFonts w:hint="eastAsia" w:hAnsi="宋体"/>
          <w:szCs w:val="21"/>
        </w:rPr>
        <w:t>雷雨天气露天时，进行起爆网路连接作业。</w:t>
      </w:r>
    </w:p>
    <w:p>
      <w:pPr>
        <w:spacing w:line="400" w:lineRule="exact"/>
        <w:ind w:right="-71" w:rightChars="-34"/>
        <w:rPr>
          <w:rFonts w:hAnsi="宋体"/>
          <w:szCs w:val="21"/>
        </w:rPr>
      </w:pPr>
      <w:r>
        <w:rPr>
          <w:rFonts w:hAnsi="宋体"/>
          <w:b/>
          <w:szCs w:val="21"/>
        </w:rPr>
        <w:t>7</w:t>
      </w:r>
      <w:r>
        <w:rPr>
          <w:rFonts w:hint="eastAsia" w:hAnsi="宋体"/>
          <w:b/>
          <w:szCs w:val="21"/>
        </w:rPr>
        <w:t>.2.3.7</w:t>
      </w:r>
      <w:r>
        <w:rPr>
          <w:rFonts w:hint="eastAsia" w:hAnsi="宋体"/>
          <w:szCs w:val="21"/>
        </w:rPr>
        <w:t>对高大建筑物、构筑物爆破拆除时，未采取相应的措施控制建筑物、构筑物倒塌的触落震动及爆破后坐、滚动、触地飞溅、前冲等危害。</w:t>
      </w:r>
    </w:p>
    <w:p>
      <w:pPr>
        <w:spacing w:line="400" w:lineRule="exact"/>
        <w:ind w:right="-71" w:rightChars="-34"/>
        <w:rPr>
          <w:rFonts w:hAnsi="宋体"/>
          <w:szCs w:val="21"/>
        </w:rPr>
      </w:pPr>
      <w:r>
        <w:rPr>
          <w:rFonts w:hAnsi="宋体"/>
          <w:b/>
          <w:szCs w:val="21"/>
        </w:rPr>
        <w:t>7</w:t>
      </w:r>
      <w:r>
        <w:rPr>
          <w:rFonts w:hint="eastAsia" w:hAnsi="宋体"/>
          <w:b/>
          <w:szCs w:val="21"/>
        </w:rPr>
        <w:t>.2.3.8</w:t>
      </w:r>
      <w:r>
        <w:rPr>
          <w:rFonts w:hint="eastAsia" w:hAnsi="宋体"/>
          <w:szCs w:val="21"/>
        </w:rPr>
        <w:t>爆破后未对盲炮、爆堆、爆破拆除效果以及周围环境的影响等进行检查，或发现问题未及时处理。</w:t>
      </w:r>
    </w:p>
    <w:p>
      <w:pPr>
        <w:spacing w:line="400" w:lineRule="exact"/>
        <w:ind w:right="-71" w:rightChars="-34"/>
        <w:rPr>
          <w:rFonts w:hAnsi="宋体"/>
          <w:b/>
          <w:szCs w:val="21"/>
        </w:rPr>
      </w:pPr>
      <w:r>
        <w:rPr>
          <w:rFonts w:hAnsi="宋体"/>
          <w:b/>
          <w:szCs w:val="21"/>
        </w:rPr>
        <w:t>7</w:t>
      </w:r>
      <w:r>
        <w:rPr>
          <w:rFonts w:hint="eastAsia" w:hAnsi="宋体"/>
          <w:b/>
          <w:szCs w:val="21"/>
        </w:rPr>
        <w:t xml:space="preserve">.2.4  </w:t>
      </w:r>
      <w:r>
        <w:rPr>
          <w:rFonts w:hint="eastAsia" w:hAnsi="宋体"/>
          <w:szCs w:val="21"/>
        </w:rPr>
        <w:t>施工用电</w:t>
      </w:r>
    </w:p>
    <w:p>
      <w:pPr>
        <w:spacing w:line="400" w:lineRule="exact"/>
        <w:ind w:right="-71" w:rightChars="-34"/>
        <w:rPr>
          <w:rFonts w:hAnsi="宋体"/>
          <w:szCs w:val="21"/>
        </w:rPr>
      </w:pPr>
      <w:r>
        <w:rPr>
          <w:rFonts w:hAnsi="宋体"/>
          <w:b/>
          <w:szCs w:val="21"/>
        </w:rPr>
        <w:t>7</w:t>
      </w:r>
      <w:r>
        <w:rPr>
          <w:rFonts w:hint="eastAsia" w:hAnsi="宋体"/>
          <w:b/>
          <w:szCs w:val="21"/>
        </w:rPr>
        <w:t>.2.4.1</w:t>
      </w:r>
      <w:r>
        <w:rPr>
          <w:rFonts w:hint="eastAsia" w:hAnsi="宋体"/>
          <w:szCs w:val="21"/>
        </w:rPr>
        <w:t>拆除施工未使用三级配电、TN-S接零保护、逐级漏电保护系统。</w:t>
      </w:r>
    </w:p>
    <w:p>
      <w:pPr>
        <w:spacing w:line="400" w:lineRule="exact"/>
        <w:ind w:right="-71" w:rightChars="-34"/>
        <w:rPr>
          <w:rFonts w:hAnsi="宋体"/>
          <w:b/>
          <w:szCs w:val="21"/>
        </w:rPr>
      </w:pPr>
      <w:r>
        <w:rPr>
          <w:rFonts w:hAnsi="宋体"/>
          <w:b/>
          <w:szCs w:val="21"/>
        </w:rPr>
        <w:t>7</w:t>
      </w:r>
      <w:r>
        <w:rPr>
          <w:rFonts w:hint="eastAsia" w:hAnsi="宋体"/>
          <w:b/>
          <w:szCs w:val="21"/>
        </w:rPr>
        <w:t xml:space="preserve">.2.5  </w:t>
      </w:r>
      <w:r>
        <w:rPr>
          <w:rFonts w:hint="eastAsia" w:hAnsi="宋体"/>
          <w:szCs w:val="21"/>
        </w:rPr>
        <w:t>消防安全</w:t>
      </w:r>
    </w:p>
    <w:p>
      <w:pPr>
        <w:spacing w:line="400" w:lineRule="exact"/>
        <w:ind w:right="-71" w:rightChars="-34"/>
        <w:rPr>
          <w:rFonts w:hAnsi="宋体"/>
          <w:szCs w:val="21"/>
        </w:rPr>
      </w:pPr>
      <w:r>
        <w:rPr>
          <w:rFonts w:hAnsi="宋体"/>
          <w:b/>
          <w:szCs w:val="21"/>
        </w:rPr>
        <w:t>7</w:t>
      </w:r>
      <w:r>
        <w:rPr>
          <w:rFonts w:hint="eastAsia" w:hAnsi="宋体"/>
          <w:b/>
          <w:szCs w:val="21"/>
        </w:rPr>
        <w:t>.2.5.1</w:t>
      </w:r>
      <w:r>
        <w:rPr>
          <w:rFonts w:hint="eastAsia" w:hAnsi="宋体"/>
          <w:szCs w:val="21"/>
        </w:rPr>
        <w:t>动用电气焊等明火对管道或容器进行切割作业时，未确认是否存有可燃气体或爆炸性粉尘等残留物。</w:t>
      </w:r>
    </w:p>
    <w:p>
      <w:pPr>
        <w:spacing w:line="400" w:lineRule="exact"/>
        <w:ind w:right="-71" w:rightChars="-34"/>
        <w:rPr>
          <w:rFonts w:hAnsi="宋体"/>
          <w:szCs w:val="21"/>
        </w:rPr>
      </w:pPr>
      <w:r>
        <w:rPr>
          <w:rFonts w:hAnsi="宋体"/>
          <w:b/>
          <w:szCs w:val="21"/>
        </w:rPr>
        <w:t>7</w:t>
      </w:r>
      <w:r>
        <w:rPr>
          <w:rFonts w:hint="eastAsia" w:hAnsi="宋体"/>
          <w:b/>
          <w:szCs w:val="21"/>
        </w:rPr>
        <w:t>.2.5.2</w:t>
      </w:r>
      <w:r>
        <w:rPr>
          <w:rFonts w:hint="eastAsia" w:hAnsi="宋体"/>
          <w:szCs w:val="21"/>
        </w:rPr>
        <w:t>存在可燃性气体的作业场所，进行动火作业或使用非防爆设备。</w:t>
      </w:r>
    </w:p>
    <w:p>
      <w:pPr>
        <w:spacing w:line="400" w:lineRule="exact"/>
        <w:ind w:right="-71" w:rightChars="-34"/>
        <w:rPr>
          <w:rFonts w:hAnsi="宋体"/>
          <w:b/>
          <w:szCs w:val="21"/>
        </w:rPr>
      </w:pPr>
      <w:r>
        <w:rPr>
          <w:rFonts w:hAnsi="宋体"/>
          <w:b/>
          <w:szCs w:val="21"/>
        </w:rPr>
        <w:t>7</w:t>
      </w:r>
      <w:r>
        <w:rPr>
          <w:rFonts w:hint="eastAsia" w:hAnsi="宋体"/>
          <w:b/>
          <w:szCs w:val="21"/>
        </w:rPr>
        <w:t xml:space="preserve">.2.6  </w:t>
      </w:r>
      <w:r>
        <w:rPr>
          <w:rFonts w:hint="eastAsia" w:hAnsi="宋体"/>
          <w:szCs w:val="21"/>
        </w:rPr>
        <w:t>有限空间作业</w:t>
      </w:r>
    </w:p>
    <w:p>
      <w:pPr>
        <w:spacing w:line="400" w:lineRule="exact"/>
        <w:ind w:right="-71" w:rightChars="-34"/>
        <w:rPr>
          <w:rFonts w:hAnsi="宋体"/>
          <w:szCs w:val="21"/>
        </w:rPr>
      </w:pPr>
      <w:r>
        <w:rPr>
          <w:rFonts w:hAnsi="宋体"/>
          <w:b/>
          <w:szCs w:val="21"/>
        </w:rPr>
        <w:t>7</w:t>
      </w:r>
      <w:r>
        <w:rPr>
          <w:rFonts w:hint="eastAsia" w:hAnsi="宋体"/>
          <w:b/>
          <w:szCs w:val="21"/>
        </w:rPr>
        <w:t>.2.6.1</w:t>
      </w:r>
      <w:r>
        <w:rPr>
          <w:rFonts w:hint="eastAsia" w:hAnsi="宋体"/>
          <w:szCs w:val="21"/>
        </w:rPr>
        <w:t>有限空间作业未履行“作业审批制度”，未对施工人员进行专项安全教育培训。</w:t>
      </w:r>
    </w:p>
    <w:p>
      <w:pPr>
        <w:spacing w:line="400" w:lineRule="exact"/>
        <w:ind w:right="-71" w:rightChars="-34"/>
        <w:rPr>
          <w:rFonts w:hAnsi="宋体"/>
          <w:szCs w:val="21"/>
        </w:rPr>
      </w:pPr>
      <w:r>
        <w:rPr>
          <w:rFonts w:hAnsi="宋体"/>
          <w:b/>
          <w:szCs w:val="21"/>
        </w:rPr>
        <w:t>7</w:t>
      </w:r>
      <w:r>
        <w:rPr>
          <w:rFonts w:hint="eastAsia" w:hAnsi="宋体"/>
          <w:b/>
          <w:szCs w:val="21"/>
        </w:rPr>
        <w:t>.2.6.2</w:t>
      </w:r>
      <w:r>
        <w:rPr>
          <w:rFonts w:hint="eastAsia" w:hAnsi="宋体"/>
          <w:szCs w:val="21"/>
        </w:rPr>
        <w:t>有限空间作业未执行“先通风、再检测、后作业”原则。</w:t>
      </w:r>
    </w:p>
    <w:p>
      <w:pPr>
        <w:spacing w:line="400" w:lineRule="exact"/>
        <w:ind w:right="-71" w:rightChars="-34"/>
        <w:rPr>
          <w:rFonts w:hAnsi="宋体"/>
          <w:szCs w:val="21"/>
        </w:rPr>
      </w:pPr>
      <w:r>
        <w:rPr>
          <w:rFonts w:hAnsi="宋体"/>
          <w:b/>
          <w:szCs w:val="21"/>
        </w:rPr>
        <w:t>7</w:t>
      </w:r>
      <w:r>
        <w:rPr>
          <w:rFonts w:hint="eastAsia" w:hAnsi="宋体"/>
          <w:b/>
          <w:szCs w:val="21"/>
        </w:rPr>
        <w:t>.2.6.3</w:t>
      </w:r>
      <w:r>
        <w:rPr>
          <w:rFonts w:hint="eastAsia" w:hAnsi="宋体"/>
          <w:szCs w:val="21"/>
        </w:rPr>
        <w:t>拆除管道或容器前，未查清残留物的性质。</w:t>
      </w:r>
    </w:p>
    <w:p>
      <w:pPr>
        <w:spacing w:line="400" w:lineRule="exact"/>
        <w:ind w:right="-71" w:rightChars="-34"/>
        <w:rPr>
          <w:rFonts w:hAnsi="宋体"/>
          <w:szCs w:val="21"/>
        </w:rPr>
      </w:pPr>
      <w:r>
        <w:rPr>
          <w:rFonts w:hAnsi="宋体"/>
          <w:b/>
          <w:szCs w:val="21"/>
        </w:rPr>
        <w:t>7</w:t>
      </w:r>
      <w:r>
        <w:rPr>
          <w:rFonts w:hint="eastAsia" w:hAnsi="宋体"/>
          <w:b/>
          <w:szCs w:val="21"/>
        </w:rPr>
        <w:t>.2.6.4</w:t>
      </w:r>
      <w:r>
        <w:rPr>
          <w:rFonts w:hint="eastAsia" w:hAnsi="宋体"/>
          <w:szCs w:val="21"/>
        </w:rPr>
        <w:t>有限空间作业负责人及监护人员未履行安全职责，未落实应急措施。</w:t>
      </w:r>
    </w:p>
    <w:p>
      <w:pPr>
        <w:spacing w:line="400" w:lineRule="exact"/>
        <w:ind w:right="-71" w:rightChars="-34"/>
        <w:rPr>
          <w:rFonts w:hint="eastAsia"/>
        </w:rPr>
      </w:pPr>
      <w:bookmarkStart w:id="69" w:name="_Toc349114373"/>
      <w:r>
        <w:br w:type="page"/>
      </w:r>
      <w:bookmarkStart w:id="70" w:name="_Toc30445"/>
      <w:r>
        <w:rPr>
          <w:rFonts w:hint="eastAsia"/>
          <w:kern w:val="0"/>
          <w:szCs w:val="28"/>
          <w:lang w:eastAsia="zh-CN"/>
        </w:rPr>
        <w:t>附：</w:t>
      </w:r>
      <w:bookmarkEnd w:id="70"/>
    </w:p>
    <w:p>
      <w:pPr>
        <w:jc w:val="center"/>
        <w:rPr>
          <w:b/>
          <w:sz w:val="48"/>
          <w:szCs w:val="48"/>
        </w:rPr>
      </w:pPr>
    </w:p>
    <w:p>
      <w:pPr>
        <w:jc w:val="center"/>
        <w:rPr>
          <w:b/>
          <w:sz w:val="48"/>
          <w:szCs w:val="48"/>
        </w:rPr>
      </w:pPr>
    </w:p>
    <w:p>
      <w:pPr>
        <w:jc w:val="center"/>
        <w:rPr>
          <w:b/>
          <w:sz w:val="48"/>
          <w:szCs w:val="48"/>
        </w:rPr>
      </w:pPr>
      <w:r>
        <w:rPr>
          <w:rFonts w:hint="eastAsia"/>
          <w:b/>
          <w:sz w:val="48"/>
          <w:szCs w:val="48"/>
        </w:rPr>
        <w:t>北京市房屋建筑和市政基础设施工程</w:t>
      </w:r>
    </w:p>
    <w:p>
      <w:pPr>
        <w:jc w:val="center"/>
        <w:rPr>
          <w:b/>
          <w:sz w:val="48"/>
          <w:szCs w:val="48"/>
        </w:rPr>
      </w:pPr>
      <w:r>
        <w:rPr>
          <w:rFonts w:hint="eastAsia"/>
          <w:b/>
          <w:sz w:val="48"/>
          <w:szCs w:val="48"/>
        </w:rPr>
        <w:t>重大生产安全事故隐患判定导则</w:t>
      </w:r>
    </w:p>
    <w:p>
      <w:pPr>
        <w:jc w:val="center"/>
        <w:rPr>
          <w:b/>
          <w:sz w:val="44"/>
          <w:szCs w:val="44"/>
        </w:rPr>
      </w:pPr>
    </w:p>
    <w:p>
      <w:pPr>
        <w:jc w:val="center"/>
        <w:rPr>
          <w:rFonts w:hint="eastAsia"/>
          <w:b/>
          <w:sz w:val="44"/>
          <w:szCs w:val="44"/>
        </w:rPr>
      </w:pPr>
    </w:p>
    <w:p>
      <w:pPr>
        <w:jc w:val="center"/>
        <w:rPr>
          <w:b/>
          <w:sz w:val="44"/>
          <w:szCs w:val="44"/>
        </w:rPr>
      </w:pPr>
    </w:p>
    <w:p>
      <w:pPr>
        <w:jc w:val="center"/>
        <w:rPr>
          <w:b/>
          <w:sz w:val="44"/>
          <w:szCs w:val="44"/>
        </w:rPr>
      </w:pPr>
      <w:r>
        <w:rPr>
          <w:b/>
          <w:sz w:val="44"/>
          <w:szCs w:val="44"/>
        </w:rPr>
        <w:t>条文说明</w:t>
      </w:r>
    </w:p>
    <w:p>
      <w:pPr>
        <w:rPr>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b/>
          <w:sz w:val="44"/>
          <w:szCs w:val="44"/>
        </w:rPr>
      </w:pPr>
    </w:p>
    <w:p>
      <w:pPr>
        <w:jc w:val="center"/>
        <w:rPr>
          <w:b/>
          <w:sz w:val="44"/>
          <w:szCs w:val="44"/>
        </w:rPr>
      </w:pPr>
    </w:p>
    <w:p>
      <w:pPr>
        <w:pStyle w:val="2"/>
      </w:pPr>
      <w:r>
        <w:rPr>
          <w:sz w:val="44"/>
        </w:rPr>
        <w:br w:type="page"/>
      </w:r>
      <w:bookmarkEnd w:id="69"/>
      <w:bookmarkStart w:id="71" w:name="_Toc519609690"/>
      <w:bookmarkStart w:id="72" w:name="_Toc519674684"/>
      <w:bookmarkStart w:id="73" w:name="_Toc519760509"/>
      <w:bookmarkStart w:id="74" w:name="_Toc519687455"/>
      <w:bookmarkStart w:id="75" w:name="_Toc13637"/>
      <w:bookmarkStart w:id="76" w:name="_Toc519760510"/>
      <w:bookmarkStart w:id="77" w:name="_Toc519687456"/>
      <w:bookmarkStart w:id="78" w:name="_Toc519674685"/>
      <w:bookmarkStart w:id="79" w:name="_Toc519609691"/>
      <w:r>
        <w:rPr>
          <w:rFonts w:hint="eastAsia"/>
        </w:rPr>
        <w:t>1  总  则</w:t>
      </w:r>
      <w:bookmarkEnd w:id="71"/>
      <w:bookmarkEnd w:id="72"/>
      <w:bookmarkEnd w:id="73"/>
      <w:bookmarkEnd w:id="74"/>
    </w:p>
    <w:p>
      <w:pPr>
        <w:tabs>
          <w:tab w:val="left" w:pos="360"/>
        </w:tabs>
        <w:snapToGrid w:val="0"/>
        <w:spacing w:line="400" w:lineRule="exact"/>
        <w:rPr>
          <w:b/>
          <w:sz w:val="28"/>
          <w:szCs w:val="28"/>
        </w:rPr>
      </w:pPr>
      <w:r>
        <w:rPr>
          <w:rFonts w:hint="eastAsia"/>
          <w:b/>
          <w:bCs/>
          <w:szCs w:val="21"/>
        </w:rPr>
        <w:t>1.0.3</w:t>
      </w:r>
      <w:r>
        <w:rPr>
          <w:rFonts w:hint="eastAsia"/>
          <w:bCs/>
          <w:szCs w:val="21"/>
        </w:rPr>
        <w:t xml:space="preserve">  尚无国家、行业及地方技术标准，可能影响工程施工安全的新技术、新工艺、新材料、新设备，进入施工现场前应该审查其企业标准、成果鉴定书，产品还应审查检验检测报告、产品合格证，并进行专家论证。</w:t>
      </w:r>
    </w:p>
    <w:p>
      <w:pPr>
        <w:pStyle w:val="2"/>
      </w:pPr>
      <w:r>
        <w:rPr>
          <w:rFonts w:hint="eastAsia"/>
        </w:rPr>
        <w:t>3  基本规定</w:t>
      </w:r>
      <w:bookmarkEnd w:id="75"/>
      <w:bookmarkEnd w:id="76"/>
      <w:bookmarkEnd w:id="77"/>
      <w:bookmarkEnd w:id="78"/>
      <w:bookmarkEnd w:id="79"/>
    </w:p>
    <w:p>
      <w:pPr>
        <w:tabs>
          <w:tab w:val="left" w:pos="360"/>
        </w:tabs>
        <w:snapToGrid w:val="0"/>
        <w:spacing w:line="400" w:lineRule="exact"/>
        <w:jc w:val="left"/>
        <w:rPr>
          <w:rFonts w:hint="eastAsia" w:ascii="宋体" w:hAnsi="宋体"/>
          <w:bCs/>
          <w:szCs w:val="21"/>
        </w:rPr>
      </w:pPr>
      <w:r>
        <w:rPr>
          <w:rFonts w:hint="eastAsia"/>
          <w:b/>
          <w:bCs/>
          <w:szCs w:val="21"/>
        </w:rPr>
        <w:t>3.0.5</w:t>
      </w:r>
      <w:r>
        <w:rPr>
          <w:rFonts w:hint="eastAsia"/>
          <w:bCs/>
          <w:szCs w:val="21"/>
        </w:rPr>
        <w:t xml:space="preserve">  </w:t>
      </w:r>
      <w:r>
        <w:rPr>
          <w:rFonts w:hint="eastAsia" w:ascii="宋体" w:hAnsi="宋体"/>
          <w:bCs/>
          <w:szCs w:val="21"/>
        </w:rPr>
        <w:t>特种作业人员包括垂直运输机械作业人员、安装拆卸工、爆破作业人员、起重信号工、登高架设作业人员等，特种作业人员必须按照国家有关规定经过专门的安全作业培训，并取得特种作业操作资格证书后，方可上岗作业。</w:t>
      </w:r>
    </w:p>
    <w:p>
      <w:pPr>
        <w:tabs>
          <w:tab w:val="left" w:pos="360"/>
        </w:tabs>
        <w:snapToGrid w:val="0"/>
        <w:spacing w:line="400" w:lineRule="exact"/>
        <w:jc w:val="left"/>
        <w:rPr>
          <w:rFonts w:hint="eastAsia" w:ascii="宋体" w:hAnsi="宋体"/>
          <w:bCs/>
          <w:szCs w:val="21"/>
        </w:rPr>
      </w:pPr>
      <w:r>
        <w:rPr>
          <w:rFonts w:hint="eastAsia"/>
          <w:b/>
          <w:bCs/>
          <w:szCs w:val="21"/>
          <w:lang w:val="en-US" w:eastAsia="zh-CN"/>
        </w:rPr>
        <w:t>3</w:t>
      </w:r>
      <w:r>
        <w:rPr>
          <w:rFonts w:hint="eastAsia"/>
          <w:b/>
          <w:bCs/>
          <w:szCs w:val="21"/>
        </w:rPr>
        <w:t>.0.</w:t>
      </w:r>
      <w:r>
        <w:rPr>
          <w:rFonts w:hint="eastAsia"/>
          <w:b/>
          <w:bCs/>
          <w:szCs w:val="21"/>
          <w:lang w:val="en-US" w:eastAsia="zh-CN"/>
        </w:rPr>
        <w:t>7</w:t>
      </w:r>
      <w:r>
        <w:rPr>
          <w:rFonts w:hint="eastAsia"/>
          <w:bCs/>
          <w:szCs w:val="21"/>
        </w:rPr>
        <w:t xml:space="preserve">  尚无国家、行业及地方技术标准，可能影响工程施工安全的新技术、新工艺、新材料、新设备，进入施工现场前应该审查其企业标准、成果鉴定书，产品还应审查检验检测报告、产品合格证，并进行专家论证。</w:t>
      </w:r>
    </w:p>
    <w:p>
      <w:pPr>
        <w:pStyle w:val="2"/>
        <w:rPr>
          <w:rFonts w:hint="eastAsia" w:eastAsia="宋体"/>
          <w:lang w:eastAsia="zh-CN"/>
        </w:rPr>
      </w:pPr>
      <w:bookmarkStart w:id="80" w:name="_Toc519674686"/>
      <w:bookmarkStart w:id="81" w:name="_Toc519760511"/>
      <w:bookmarkStart w:id="82" w:name="_Toc30773"/>
      <w:bookmarkStart w:id="83" w:name="_Toc519609692"/>
      <w:bookmarkStart w:id="84" w:name="_Toc519687457"/>
      <w:r>
        <w:rPr>
          <w:rFonts w:hint="eastAsia"/>
        </w:rPr>
        <w:t>4  房屋建筑工程</w:t>
      </w:r>
      <w:bookmarkEnd w:id="80"/>
      <w:bookmarkEnd w:id="81"/>
      <w:bookmarkEnd w:id="82"/>
      <w:bookmarkEnd w:id="83"/>
      <w:bookmarkEnd w:id="84"/>
      <w:r>
        <w:rPr>
          <w:rFonts w:hint="eastAsia"/>
          <w:lang w:eastAsia="zh-CN"/>
        </w:rPr>
        <w:t>重大生产安全事故隐患</w:t>
      </w:r>
    </w:p>
    <w:p>
      <w:pPr>
        <w:pStyle w:val="3"/>
      </w:pPr>
      <w:bookmarkStart w:id="85" w:name="_Toc519674687"/>
      <w:bookmarkStart w:id="86" w:name="_Toc519760512"/>
      <w:bookmarkStart w:id="87" w:name="_Toc519687458"/>
      <w:bookmarkStart w:id="88" w:name="_Toc814"/>
      <w:bookmarkStart w:id="89" w:name="_Toc519609693"/>
      <w:r>
        <w:rPr>
          <w:rFonts w:ascii="Times New Roman" w:hAnsi="Times New Roman" w:eastAsia="Arial Unicode MS"/>
        </w:rPr>
        <w:t xml:space="preserve">4.2  </w:t>
      </w:r>
      <w:r>
        <w:rPr>
          <w:rFonts w:hint="eastAsia" w:ascii="黑体" w:hAnsi="黑体"/>
        </w:rPr>
        <w:t>模板工程</w:t>
      </w:r>
      <w:bookmarkEnd w:id="85"/>
      <w:bookmarkEnd w:id="86"/>
      <w:bookmarkEnd w:id="87"/>
      <w:bookmarkEnd w:id="88"/>
      <w:bookmarkEnd w:id="89"/>
    </w:p>
    <w:p>
      <w:pPr>
        <w:tabs>
          <w:tab w:val="left" w:pos="360"/>
        </w:tabs>
        <w:snapToGrid w:val="0"/>
        <w:spacing w:line="400" w:lineRule="exact"/>
        <w:rPr>
          <w:szCs w:val="21"/>
        </w:rPr>
      </w:pPr>
      <w:r>
        <w:rPr>
          <w:rFonts w:hint="eastAsia"/>
          <w:b/>
          <w:szCs w:val="21"/>
        </w:rPr>
        <w:t>4</w:t>
      </w:r>
      <w:r>
        <w:rPr>
          <w:b/>
          <w:szCs w:val="21"/>
        </w:rPr>
        <w:t>.</w:t>
      </w:r>
      <w:r>
        <w:rPr>
          <w:rFonts w:hint="eastAsia"/>
          <w:b/>
          <w:szCs w:val="21"/>
        </w:rPr>
        <w:t>2</w:t>
      </w:r>
      <w:r>
        <w:rPr>
          <w:b/>
          <w:szCs w:val="21"/>
        </w:rPr>
        <w:t>.</w:t>
      </w:r>
      <w:r>
        <w:rPr>
          <w:rFonts w:hint="eastAsia"/>
          <w:b/>
          <w:szCs w:val="21"/>
        </w:rPr>
        <w:t xml:space="preserve"> </w:t>
      </w:r>
      <w:r>
        <w:rPr>
          <w:b/>
          <w:szCs w:val="21"/>
        </w:rPr>
        <w:t>1</w:t>
      </w:r>
      <w:r>
        <w:rPr>
          <w:rFonts w:hint="eastAsia"/>
          <w:szCs w:val="21"/>
        </w:rPr>
        <w:t xml:space="preserve">  本条所述“基础承载力不满足设计要求”的情况如下：</w:t>
      </w:r>
    </w:p>
    <w:p>
      <w:pPr>
        <w:tabs>
          <w:tab w:val="left" w:pos="360"/>
        </w:tabs>
        <w:snapToGrid w:val="0"/>
        <w:spacing w:line="400" w:lineRule="exact"/>
        <w:ind w:firstLine="426" w:firstLineChars="202"/>
        <w:rPr>
          <w:szCs w:val="21"/>
        </w:rPr>
      </w:pPr>
      <w:r>
        <w:rPr>
          <w:b/>
          <w:szCs w:val="21"/>
        </w:rPr>
        <w:t>1</w:t>
      </w:r>
      <w:r>
        <w:rPr>
          <w:rFonts w:hint="eastAsia"/>
          <w:szCs w:val="21"/>
        </w:rPr>
        <w:t xml:space="preserve">  模板支架支承在地基土上时，经计算立柱底地基承载力不满足设计要求。</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模板支架支承在楼面结构时，未对楼面结构的承载力进行验算或楼面结构下方无加固措施。</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2</w:t>
      </w:r>
      <w:r>
        <w:rPr>
          <w:b/>
          <w:szCs w:val="21"/>
        </w:rPr>
        <w:t>.4</w:t>
      </w:r>
      <w:r>
        <w:rPr>
          <w:rFonts w:hint="eastAsia"/>
          <w:szCs w:val="21"/>
        </w:rPr>
        <w:t xml:space="preserve">  根据《混凝土结构工程施工规范》（GB50666-2011）第4.5.2条，混凝土强度达到设计要求后，方可拆除底模及支架；当设计无具体要求时，同条件养护的混凝土立方体试件抗压强度应符合以下规定：</w:t>
      </w:r>
    </w:p>
    <w:p>
      <w:pPr>
        <w:tabs>
          <w:tab w:val="left" w:pos="360"/>
        </w:tabs>
        <w:snapToGrid w:val="0"/>
        <w:spacing w:line="400" w:lineRule="exact"/>
        <w:ind w:firstLine="426" w:firstLineChars="202"/>
        <w:rPr>
          <w:color w:val="000000"/>
          <w:szCs w:val="21"/>
        </w:rPr>
      </w:pPr>
      <w:r>
        <w:rPr>
          <w:rFonts w:hint="eastAsia"/>
          <w:b/>
          <w:color w:val="000000"/>
          <w:szCs w:val="21"/>
        </w:rPr>
        <w:t>1</w:t>
      </w:r>
      <w:r>
        <w:rPr>
          <w:rFonts w:hint="eastAsia"/>
          <w:color w:val="000000"/>
          <w:szCs w:val="21"/>
        </w:rPr>
        <w:t xml:space="preserve">  板：当跨度</w:t>
      </w:r>
      <w:r>
        <w:rPr>
          <w:color w:val="000000"/>
          <w:szCs w:val="21"/>
        </w:rPr>
        <w:t>≤</w:t>
      </w:r>
      <w:r>
        <w:rPr>
          <w:rFonts w:hint="eastAsia"/>
          <w:color w:val="000000"/>
          <w:szCs w:val="21"/>
        </w:rPr>
        <w:t>2</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50％</w:t>
      </w:r>
      <w:r>
        <w:rPr>
          <w:color w:val="000000"/>
          <w:szCs w:val="21"/>
        </w:rPr>
        <w:fldChar w:fldCharType="end"/>
      </w:r>
      <w:r>
        <w:rPr>
          <w:rFonts w:hint="eastAsia"/>
          <w:color w:val="000000"/>
          <w:szCs w:val="21"/>
        </w:rPr>
        <w:t>设计标准值；当跨度&gt;2</w:t>
      </w:r>
      <w:r>
        <w:rPr>
          <w:rFonts w:hint="eastAsia"/>
          <w:color w:val="000000"/>
          <w:szCs w:val="21"/>
          <w:lang w:eastAsia="zh-CN"/>
        </w:rPr>
        <w:t>m</w:t>
      </w:r>
      <w:r>
        <w:rPr>
          <w:rFonts w:hint="eastAsia"/>
          <w:color w:val="000000"/>
          <w:szCs w:val="21"/>
        </w:rPr>
        <w:t>，</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 xml:space="preserve">设计标准值； </w:t>
      </w:r>
    </w:p>
    <w:p>
      <w:pPr>
        <w:tabs>
          <w:tab w:val="left" w:pos="360"/>
        </w:tabs>
        <w:snapToGrid w:val="0"/>
        <w:spacing w:line="400" w:lineRule="exact"/>
        <w:ind w:firstLine="426" w:firstLineChars="202"/>
        <w:rPr>
          <w:color w:val="000000"/>
          <w:szCs w:val="21"/>
        </w:rPr>
      </w:pPr>
      <w:r>
        <w:rPr>
          <w:rFonts w:hint="eastAsia"/>
          <w:b/>
          <w:color w:val="000000"/>
          <w:szCs w:val="21"/>
        </w:rPr>
        <w:t>2</w:t>
      </w:r>
      <w:r>
        <w:rPr>
          <w:rFonts w:hint="eastAsia"/>
          <w:color w:val="000000"/>
          <w:szCs w:val="21"/>
        </w:rPr>
        <w:t xml:space="preserve">  梁、拱、壳：当跨度</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tabs>
          <w:tab w:val="left" w:pos="360"/>
        </w:tabs>
        <w:snapToGrid w:val="0"/>
        <w:spacing w:line="400" w:lineRule="exact"/>
        <w:ind w:firstLine="426" w:firstLineChars="202"/>
        <w:rPr>
          <w:szCs w:val="21"/>
        </w:rPr>
      </w:pPr>
      <w:r>
        <w:rPr>
          <w:rFonts w:hint="eastAsia"/>
          <w:b/>
          <w:color w:val="000000"/>
          <w:szCs w:val="21"/>
        </w:rPr>
        <w:t>3</w:t>
      </w:r>
      <w:r>
        <w:rPr>
          <w:rFonts w:hint="eastAsia"/>
          <w:color w:val="000000"/>
          <w:szCs w:val="21"/>
        </w:rPr>
        <w:t xml:space="preserve">  悬臂构件：混凝土抗压强度应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pStyle w:val="3"/>
      </w:pPr>
      <w:bookmarkStart w:id="90" w:name="_Toc519609694"/>
      <w:bookmarkStart w:id="91" w:name="_Toc519760513"/>
      <w:bookmarkStart w:id="92" w:name="_Toc519687459"/>
      <w:bookmarkStart w:id="93" w:name="_Toc519674688"/>
      <w:bookmarkStart w:id="94" w:name="_Toc15832"/>
      <w:r>
        <w:rPr>
          <w:rFonts w:ascii="Times New Roman" w:hAnsi="Times New Roman"/>
        </w:rPr>
        <w:t xml:space="preserve">4.3  </w:t>
      </w:r>
      <w:r>
        <w:rPr>
          <w:rFonts w:hint="eastAsia"/>
        </w:rPr>
        <w:t>脚手架工程</w:t>
      </w:r>
      <w:bookmarkEnd w:id="90"/>
      <w:bookmarkEnd w:id="91"/>
      <w:bookmarkEnd w:id="92"/>
      <w:bookmarkEnd w:id="93"/>
      <w:bookmarkEnd w:id="94"/>
    </w:p>
    <w:p>
      <w:pPr>
        <w:tabs>
          <w:tab w:val="left" w:pos="360"/>
        </w:tabs>
        <w:snapToGrid w:val="0"/>
        <w:spacing w:line="400" w:lineRule="exact"/>
        <w:rPr>
          <w:szCs w:val="21"/>
        </w:rPr>
      </w:pPr>
      <w:r>
        <w:rPr>
          <w:rFonts w:hint="eastAsia"/>
          <w:b/>
          <w:szCs w:val="21"/>
        </w:rPr>
        <w:t>4</w:t>
      </w:r>
      <w:r>
        <w:rPr>
          <w:b/>
          <w:szCs w:val="21"/>
        </w:rPr>
        <w:t>.</w:t>
      </w:r>
      <w:r>
        <w:rPr>
          <w:rFonts w:hint="eastAsia"/>
          <w:b/>
          <w:szCs w:val="21"/>
        </w:rPr>
        <w:t>3</w:t>
      </w:r>
      <w:r>
        <w:rPr>
          <w:b/>
          <w:szCs w:val="21"/>
        </w:rPr>
        <w:t>.1</w:t>
      </w:r>
      <w:r>
        <w:rPr>
          <w:rFonts w:hint="eastAsia"/>
          <w:szCs w:val="21"/>
        </w:rPr>
        <w:t xml:space="preserve">  本条所述“基础承载力不满足设计要求”的情况如下：</w:t>
      </w:r>
    </w:p>
    <w:p>
      <w:pPr>
        <w:tabs>
          <w:tab w:val="left" w:pos="360"/>
        </w:tabs>
        <w:snapToGrid w:val="0"/>
        <w:spacing w:line="400" w:lineRule="exact"/>
        <w:ind w:firstLine="426" w:firstLineChars="202"/>
        <w:rPr>
          <w:szCs w:val="21"/>
        </w:rPr>
      </w:pPr>
      <w:r>
        <w:rPr>
          <w:rFonts w:hint="eastAsia"/>
          <w:b/>
          <w:szCs w:val="21"/>
        </w:rPr>
        <w:t>1</w:t>
      </w:r>
      <w:r>
        <w:rPr>
          <w:rFonts w:hint="eastAsia"/>
          <w:szCs w:val="21"/>
        </w:rPr>
        <w:t xml:space="preserve"> </w:t>
      </w:r>
      <w:r>
        <w:rPr>
          <w:szCs w:val="21"/>
        </w:rPr>
        <w:t xml:space="preserve"> </w:t>
      </w:r>
      <w:r>
        <w:rPr>
          <w:rFonts w:hint="eastAsia"/>
          <w:szCs w:val="21"/>
        </w:rPr>
        <w:t>搭设高度24</w:t>
      </w:r>
      <w:r>
        <w:rPr>
          <w:rFonts w:hint="eastAsia"/>
          <w:szCs w:val="21"/>
          <w:lang w:eastAsia="zh-CN"/>
        </w:rPr>
        <w:t>m</w:t>
      </w:r>
      <w:r>
        <w:rPr>
          <w:rFonts w:hint="eastAsia"/>
          <w:szCs w:val="21"/>
        </w:rPr>
        <w:t>及以上的落地式钢管脚手架工程基础未进行承载力验算，或按照《建筑施工扣件式钢管脚手架安全技术规范》（JGJ130-2011）、《建筑施工碗扣式钢管脚手架安全技术规范》（JGJ166-2016）、《建筑施工承插盘扣式钢管支架安全技术规程》（JGJ231-2010）、《建筑施工门式钢管脚手架安全技术规范》（JGJ128-2010）中有关基础承载力的验算承载力不满足设计要求。</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悬挑式脚手架，悬挑工字钢强度、截面高度、截面形式不符合设计要求，或钢梁与建筑结构锚固处结构强度、锚固措施不符合设计要求，或锚固段与悬挑段长度比小于1.25。</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无加固措施的情况下，在落地式脚手架基础附近开挖设备基础或管沟。</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3</w:t>
      </w:r>
      <w:r>
        <w:rPr>
          <w:b/>
          <w:szCs w:val="21"/>
        </w:rPr>
        <w:t>.2</w:t>
      </w:r>
      <w:r>
        <w:rPr>
          <w:rFonts w:hint="eastAsia"/>
          <w:szCs w:val="21"/>
        </w:rPr>
        <w:t xml:space="preserve">  本条中连墙件设置的位置和数量偏差较大包括：</w:t>
      </w:r>
    </w:p>
    <w:p>
      <w:pPr>
        <w:tabs>
          <w:tab w:val="left" w:pos="360"/>
        </w:tabs>
        <w:snapToGrid w:val="0"/>
        <w:spacing w:line="400" w:lineRule="exact"/>
        <w:ind w:firstLine="426" w:firstLineChars="202"/>
        <w:rPr>
          <w:szCs w:val="21"/>
        </w:rPr>
      </w:pPr>
      <w:bookmarkStart w:id="95" w:name="_Hlk516214065"/>
      <w:r>
        <w:rPr>
          <w:b/>
          <w:szCs w:val="21"/>
        </w:rPr>
        <w:t>1</w:t>
      </w:r>
      <w:r>
        <w:rPr>
          <w:szCs w:val="21"/>
        </w:rPr>
        <w:t xml:space="preserve"> </w:t>
      </w:r>
      <w:r>
        <w:rPr>
          <w:rFonts w:hint="eastAsia"/>
          <w:szCs w:val="21"/>
        </w:rPr>
        <w:t xml:space="preserve"> 开口型脚手架的两端未设置连墙件，或连墙件的垂直间距大于建筑物的层高；</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连墙件的轴向力大于方案设计值或单个连墙件所覆盖的脚手架外侧面积的迎风面积大于方案设计值</w:t>
      </w:r>
      <w:bookmarkEnd w:id="95"/>
      <w:r>
        <w:rPr>
          <w:rFonts w:hint="eastAsia"/>
          <w:szCs w:val="21"/>
        </w:rPr>
        <w:t>。</w:t>
      </w:r>
    </w:p>
    <w:p>
      <w:pPr>
        <w:tabs>
          <w:tab w:val="left" w:pos="360"/>
        </w:tabs>
        <w:snapToGrid w:val="0"/>
        <w:spacing w:line="400" w:lineRule="exact"/>
        <w:rPr>
          <w:szCs w:val="21"/>
        </w:rPr>
      </w:pPr>
      <w:r>
        <w:rPr>
          <w:rFonts w:hint="eastAsia"/>
          <w:b/>
          <w:szCs w:val="21"/>
        </w:rPr>
        <w:t>4.3.4</w:t>
      </w:r>
      <w:r>
        <w:rPr>
          <w:rFonts w:hint="eastAsia"/>
          <w:szCs w:val="21"/>
        </w:rPr>
        <w:t xml:space="preserve">  “整层拆除”是指拆除脚手架作业过程中，未拆除至连墙件所在楼层时，将该楼层连墙件整层全部拆除的情况。</w:t>
      </w:r>
    </w:p>
    <w:p>
      <w:pPr>
        <w:tabs>
          <w:tab w:val="left" w:pos="360"/>
        </w:tabs>
        <w:snapToGrid w:val="0"/>
        <w:spacing w:line="400" w:lineRule="exact"/>
        <w:rPr>
          <w:rFonts w:hint="eastAsia"/>
          <w:szCs w:val="21"/>
        </w:rPr>
      </w:pPr>
      <w:r>
        <w:rPr>
          <w:rFonts w:hint="eastAsia"/>
          <w:b/>
          <w:szCs w:val="21"/>
        </w:rPr>
        <w:t>4.3.9</w:t>
      </w:r>
      <w:r>
        <w:rPr>
          <w:rFonts w:hint="eastAsia"/>
          <w:szCs w:val="21"/>
        </w:rPr>
        <w:t xml:space="preserve">  “钢丝绳”的报废标准：</w:t>
      </w:r>
    </w:p>
    <w:p>
      <w:pPr>
        <w:tabs>
          <w:tab w:val="left" w:pos="360"/>
        </w:tabs>
        <w:snapToGrid w:val="0"/>
        <w:spacing w:line="400" w:lineRule="exact"/>
        <w:ind w:firstLine="426" w:firstLineChars="202"/>
        <w:rPr>
          <w:rFonts w:hint="eastAsia"/>
          <w:szCs w:val="21"/>
        </w:rPr>
      </w:pPr>
      <w:r>
        <w:rPr>
          <w:rFonts w:hint="eastAsia"/>
          <w:b/>
          <w:szCs w:val="21"/>
        </w:rPr>
        <w:t>1</w:t>
      </w:r>
      <w:r>
        <w:rPr>
          <w:rFonts w:hint="eastAsia"/>
          <w:szCs w:val="21"/>
        </w:rPr>
        <w:t xml:space="preserve">  钢丝绳在一个捻节距内断丝数达钢丝绳总丝数的</w:t>
      </w:r>
      <w:r>
        <w:rPr>
          <w:szCs w:val="21"/>
        </w:rPr>
        <w:t>10％</w:t>
      </w:r>
      <w:r>
        <w:rPr>
          <w:rFonts w:hint="eastAsia"/>
          <w:szCs w:val="21"/>
        </w:rPr>
        <w:t>；</w:t>
      </w:r>
    </w:p>
    <w:p>
      <w:pPr>
        <w:tabs>
          <w:tab w:val="left" w:pos="360"/>
        </w:tabs>
        <w:snapToGrid w:val="0"/>
        <w:spacing w:line="400" w:lineRule="exact"/>
        <w:ind w:firstLine="426" w:firstLineChars="202"/>
        <w:rPr>
          <w:rFonts w:hint="eastAsia"/>
          <w:szCs w:val="21"/>
        </w:rPr>
      </w:pPr>
      <w:r>
        <w:rPr>
          <w:rFonts w:hint="eastAsia"/>
          <w:b/>
          <w:szCs w:val="21"/>
        </w:rPr>
        <w:t>2</w:t>
      </w:r>
      <w:r>
        <w:rPr>
          <w:rFonts w:hint="eastAsia"/>
          <w:szCs w:val="21"/>
        </w:rPr>
        <w:t xml:space="preserve">  钢丝径向磨损或腐蚀量超过原直径的</w:t>
      </w:r>
      <w:r>
        <w:rPr>
          <w:szCs w:val="21"/>
        </w:rPr>
        <w:t>40％；</w:t>
      </w:r>
    </w:p>
    <w:p>
      <w:pPr>
        <w:tabs>
          <w:tab w:val="left" w:pos="360"/>
        </w:tabs>
        <w:snapToGrid w:val="0"/>
        <w:spacing w:line="400" w:lineRule="exact"/>
        <w:ind w:firstLine="426" w:firstLineChars="202"/>
        <w:rPr>
          <w:rFonts w:hint="eastAsia"/>
          <w:szCs w:val="21"/>
        </w:rPr>
      </w:pPr>
      <w:r>
        <w:rPr>
          <w:rFonts w:hint="eastAsia"/>
          <w:b/>
          <w:szCs w:val="21"/>
        </w:rPr>
        <w:t>3</w:t>
      </w:r>
      <w:r>
        <w:rPr>
          <w:rFonts w:hint="eastAsia"/>
          <w:szCs w:val="21"/>
        </w:rPr>
        <w:t xml:space="preserve">  整条绳股断裂 ；</w:t>
      </w:r>
    </w:p>
    <w:p>
      <w:pPr>
        <w:tabs>
          <w:tab w:val="left" w:pos="360"/>
        </w:tabs>
        <w:snapToGrid w:val="0"/>
        <w:spacing w:line="400" w:lineRule="exact"/>
        <w:ind w:firstLine="426" w:firstLineChars="202"/>
        <w:rPr>
          <w:rFonts w:hint="eastAsia"/>
          <w:szCs w:val="21"/>
        </w:rPr>
      </w:pPr>
      <w:r>
        <w:rPr>
          <w:rFonts w:hint="eastAsia"/>
          <w:b/>
          <w:szCs w:val="21"/>
        </w:rPr>
        <w:t>4</w:t>
      </w:r>
      <w:r>
        <w:rPr>
          <w:rFonts w:hint="eastAsia"/>
          <w:szCs w:val="21"/>
        </w:rPr>
        <w:t xml:space="preserve">  当钢丝绳直径相对于公称直径减小</w:t>
      </w:r>
      <w:r>
        <w:rPr>
          <w:szCs w:val="21"/>
        </w:rPr>
        <w:t>7%</w:t>
      </w:r>
      <w:r>
        <w:rPr>
          <w:rFonts w:hint="eastAsia"/>
          <w:szCs w:val="21"/>
        </w:rPr>
        <w:t>或更多；</w:t>
      </w:r>
    </w:p>
    <w:p>
      <w:pPr>
        <w:tabs>
          <w:tab w:val="left" w:pos="360"/>
        </w:tabs>
        <w:snapToGrid w:val="0"/>
        <w:spacing w:line="400" w:lineRule="exact"/>
        <w:ind w:firstLine="426" w:firstLineChars="202"/>
        <w:rPr>
          <w:rFonts w:hint="eastAsia"/>
          <w:szCs w:val="21"/>
        </w:rPr>
      </w:pPr>
      <w:r>
        <w:rPr>
          <w:rFonts w:hint="eastAsia"/>
          <w:b/>
          <w:szCs w:val="21"/>
        </w:rPr>
        <w:t>5</w:t>
      </w:r>
      <w:r>
        <w:rPr>
          <w:rFonts w:hint="eastAsia"/>
          <w:szCs w:val="21"/>
        </w:rPr>
        <w:t xml:space="preserve">  麻芯外露；</w:t>
      </w:r>
    </w:p>
    <w:p>
      <w:pPr>
        <w:tabs>
          <w:tab w:val="left" w:pos="360"/>
        </w:tabs>
        <w:snapToGrid w:val="0"/>
        <w:spacing w:line="400" w:lineRule="exact"/>
        <w:ind w:firstLine="426" w:firstLineChars="202"/>
        <w:rPr>
          <w:rFonts w:hint="eastAsia"/>
          <w:szCs w:val="21"/>
        </w:rPr>
      </w:pPr>
      <w:r>
        <w:rPr>
          <w:rFonts w:hint="eastAsia"/>
          <w:b/>
          <w:szCs w:val="21"/>
        </w:rPr>
        <w:t>6</w:t>
      </w:r>
      <w:r>
        <w:rPr>
          <w:rFonts w:hint="eastAsia"/>
          <w:szCs w:val="21"/>
        </w:rPr>
        <w:t xml:space="preserve">  钢丝绳有明显的腐蚀；</w:t>
      </w:r>
    </w:p>
    <w:p>
      <w:pPr>
        <w:tabs>
          <w:tab w:val="left" w:pos="360"/>
        </w:tabs>
        <w:snapToGrid w:val="0"/>
        <w:spacing w:line="400" w:lineRule="exact"/>
        <w:ind w:firstLine="426" w:firstLineChars="202"/>
        <w:rPr>
          <w:szCs w:val="21"/>
        </w:rPr>
      </w:pPr>
      <w:r>
        <w:rPr>
          <w:rFonts w:hint="eastAsia"/>
          <w:b/>
          <w:szCs w:val="21"/>
        </w:rPr>
        <w:t>7</w:t>
      </w:r>
      <w:r>
        <w:rPr>
          <w:rFonts w:hint="eastAsia"/>
          <w:szCs w:val="21"/>
        </w:rPr>
        <w:t xml:space="preserve">  局部外层钢丝伸长呈笼型状态。 </w:t>
      </w:r>
    </w:p>
    <w:p>
      <w:pPr>
        <w:pStyle w:val="3"/>
      </w:pPr>
      <w:bookmarkStart w:id="96" w:name="_Toc519687460"/>
      <w:bookmarkStart w:id="97" w:name="_Toc519674689"/>
      <w:bookmarkStart w:id="98" w:name="_Toc519760514"/>
      <w:bookmarkStart w:id="99" w:name="_Toc13898"/>
      <w:bookmarkStart w:id="100" w:name="_Toc519609695"/>
      <w:r>
        <w:rPr>
          <w:rFonts w:ascii="Times New Roman" w:hAnsi="Times New Roman"/>
        </w:rPr>
        <w:t xml:space="preserve">4.4  </w:t>
      </w:r>
      <w:r>
        <w:rPr>
          <w:rFonts w:hint="eastAsia"/>
        </w:rPr>
        <w:t>高处作业</w:t>
      </w:r>
      <w:bookmarkEnd w:id="96"/>
      <w:bookmarkEnd w:id="97"/>
      <w:bookmarkEnd w:id="98"/>
      <w:bookmarkEnd w:id="99"/>
      <w:bookmarkEnd w:id="100"/>
    </w:p>
    <w:p>
      <w:pPr>
        <w:tabs>
          <w:tab w:val="left" w:pos="360"/>
        </w:tabs>
        <w:snapToGrid w:val="0"/>
        <w:spacing w:line="400" w:lineRule="exact"/>
        <w:rPr>
          <w:szCs w:val="21"/>
        </w:rPr>
      </w:pPr>
      <w:r>
        <w:rPr>
          <w:rFonts w:hint="eastAsia"/>
          <w:b/>
          <w:szCs w:val="21"/>
        </w:rPr>
        <w:t>4</w:t>
      </w:r>
      <w:r>
        <w:rPr>
          <w:b/>
          <w:szCs w:val="21"/>
        </w:rPr>
        <w:t>.4.3</w:t>
      </w:r>
      <w:r>
        <w:rPr>
          <w:rFonts w:hint="eastAsia"/>
          <w:szCs w:val="21"/>
        </w:rPr>
        <w:t xml:space="preserve">  电梯井道施工层上部操作架能够起到隔离防护作用的，可作为隔离防护设施使用。</w:t>
      </w:r>
    </w:p>
    <w:p>
      <w:pPr>
        <w:pStyle w:val="3"/>
      </w:pPr>
      <w:bookmarkStart w:id="101" w:name="_Toc519609696"/>
      <w:bookmarkStart w:id="102" w:name="_Toc25106"/>
      <w:bookmarkStart w:id="103" w:name="_Toc519674690"/>
      <w:bookmarkStart w:id="104" w:name="_Toc519687461"/>
      <w:bookmarkStart w:id="105" w:name="_Toc519760515"/>
      <w:r>
        <w:rPr>
          <w:rFonts w:ascii="Times New Roman" w:hAnsi="Times New Roman"/>
        </w:rPr>
        <w:t xml:space="preserve">4.6  </w:t>
      </w:r>
      <w:r>
        <w:rPr>
          <w:rFonts w:hint="eastAsia"/>
        </w:rPr>
        <w:t>临时用电</w:t>
      </w:r>
      <w:bookmarkEnd w:id="101"/>
      <w:bookmarkEnd w:id="102"/>
      <w:bookmarkEnd w:id="103"/>
      <w:bookmarkEnd w:id="104"/>
      <w:bookmarkEnd w:id="105"/>
    </w:p>
    <w:p>
      <w:pPr>
        <w:tabs>
          <w:tab w:val="left" w:pos="360"/>
        </w:tabs>
        <w:snapToGrid w:val="0"/>
        <w:spacing w:line="400" w:lineRule="exact"/>
        <w:rPr>
          <w:szCs w:val="21"/>
        </w:rPr>
      </w:pPr>
      <w:r>
        <w:rPr>
          <w:rFonts w:hint="eastAsia"/>
          <w:b/>
          <w:szCs w:val="21"/>
        </w:rPr>
        <w:t>4</w:t>
      </w:r>
      <w:r>
        <w:rPr>
          <w:b/>
          <w:szCs w:val="21"/>
        </w:rPr>
        <w:t>.</w:t>
      </w:r>
      <w:r>
        <w:rPr>
          <w:rFonts w:hint="eastAsia"/>
          <w:b/>
          <w:szCs w:val="21"/>
        </w:rPr>
        <w:t>6</w:t>
      </w:r>
      <w:r>
        <w:rPr>
          <w:b/>
          <w:szCs w:val="21"/>
        </w:rPr>
        <w:t>.4</w:t>
      </w:r>
      <w:r>
        <w:rPr>
          <w:rFonts w:hint="eastAsia"/>
          <w:szCs w:val="21"/>
        </w:rPr>
        <w:t xml:space="preserve">  </w:t>
      </w:r>
      <w:r>
        <w:rPr>
          <w:szCs w:val="21"/>
        </w:rPr>
        <w:t>下列特殊场所应使用安全特低电压照明器</w:t>
      </w:r>
      <w:r>
        <w:rPr>
          <w:rFonts w:hint="eastAsia"/>
          <w:szCs w:val="21"/>
        </w:rPr>
        <w:t>。</w:t>
      </w:r>
    </w:p>
    <w:p>
      <w:pPr>
        <w:tabs>
          <w:tab w:val="left" w:pos="360"/>
        </w:tabs>
        <w:snapToGrid w:val="0"/>
        <w:spacing w:line="400" w:lineRule="exact"/>
        <w:ind w:firstLine="426" w:firstLineChars="202"/>
        <w:rPr>
          <w:szCs w:val="21"/>
        </w:rPr>
      </w:pPr>
      <w:r>
        <w:rPr>
          <w:b/>
          <w:szCs w:val="21"/>
        </w:rPr>
        <w:t>1</w:t>
      </w:r>
      <w:r>
        <w:rPr>
          <w:szCs w:val="21"/>
        </w:rPr>
        <w:t xml:space="preserve"> </w:t>
      </w:r>
      <w:r>
        <w:rPr>
          <w:rFonts w:hint="eastAsia"/>
          <w:szCs w:val="21"/>
        </w:rPr>
        <w:t xml:space="preserve"> </w:t>
      </w:r>
      <w:r>
        <w:rPr>
          <w:szCs w:val="21"/>
        </w:rPr>
        <w:t>隧道、人防工程、高温、有导</w:t>
      </w:r>
      <w:r>
        <w:rPr>
          <w:rFonts w:hint="eastAsia"/>
          <w:szCs w:val="21"/>
        </w:rPr>
        <w:t>电</w:t>
      </w:r>
      <w:r>
        <w:rPr>
          <w:szCs w:val="21"/>
        </w:rPr>
        <w:t>灰尘，比较潮湿或灯具离地面高度低于2</w:t>
      </w:r>
      <w:r>
        <w:rPr>
          <w:rFonts w:hint="eastAsia"/>
          <w:szCs w:val="21"/>
        </w:rPr>
        <w:t>.</w:t>
      </w:r>
      <w:r>
        <w:rPr>
          <w:szCs w:val="21"/>
        </w:rPr>
        <w:t>5</w:t>
      </w:r>
      <w:r>
        <w:rPr>
          <w:rFonts w:hint="eastAsia"/>
          <w:szCs w:val="21"/>
          <w:lang w:eastAsia="zh-CN"/>
        </w:rPr>
        <w:t>m</w:t>
      </w:r>
      <w:r>
        <w:rPr>
          <w:szCs w:val="21"/>
        </w:rPr>
        <w:t>等场所的照明，电源电压不应大</w:t>
      </w:r>
      <w:r>
        <w:rPr>
          <w:rFonts w:hint="eastAsia"/>
          <w:szCs w:val="21"/>
        </w:rPr>
        <w:t>于</w:t>
      </w:r>
      <w:r>
        <w:rPr>
          <w:szCs w:val="21"/>
        </w:rPr>
        <w:t>36V；</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w:t>
      </w:r>
      <w:r>
        <w:rPr>
          <w:szCs w:val="21"/>
        </w:rPr>
        <w:t>潮湿和易触及带电体场所的照明，电源电压不得大于24V；</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w:t>
      </w:r>
      <w:r>
        <w:rPr>
          <w:szCs w:val="21"/>
        </w:rPr>
        <w:t>特别潮湿场所、导电良好的地面照明，电源电压不得大于12V</w:t>
      </w:r>
      <w:r>
        <w:rPr>
          <w:rFonts w:hint="eastAsia"/>
          <w:szCs w:val="21"/>
        </w:rPr>
        <w:t>。</w:t>
      </w:r>
    </w:p>
    <w:p>
      <w:pPr>
        <w:pStyle w:val="3"/>
      </w:pPr>
      <w:bookmarkStart w:id="106" w:name="_Toc519674691"/>
      <w:bookmarkStart w:id="107" w:name="_Toc519760516"/>
      <w:bookmarkStart w:id="108" w:name="_Toc13331"/>
      <w:bookmarkStart w:id="109" w:name="_Toc519687462"/>
      <w:bookmarkStart w:id="110" w:name="_Toc519609697"/>
      <w:r>
        <w:rPr>
          <w:rFonts w:ascii="Times New Roman" w:hAnsi="Times New Roman"/>
        </w:rPr>
        <w:t xml:space="preserve">4.7  </w:t>
      </w:r>
      <w:r>
        <w:rPr>
          <w:rFonts w:hint="eastAsia"/>
        </w:rPr>
        <w:t>起重机械及起重吊装</w:t>
      </w:r>
      <w:bookmarkEnd w:id="106"/>
      <w:bookmarkEnd w:id="107"/>
      <w:bookmarkEnd w:id="108"/>
      <w:bookmarkEnd w:id="109"/>
      <w:bookmarkEnd w:id="110"/>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.7</w:t>
      </w:r>
      <w:r>
        <w:rPr>
          <w:rFonts w:hint="eastAsia"/>
          <w:szCs w:val="21"/>
        </w:rPr>
        <w:t xml:space="preserve">  起重机械的安全保护装置主要包括：</w:t>
      </w:r>
    </w:p>
    <w:p>
      <w:pPr>
        <w:tabs>
          <w:tab w:val="left" w:pos="360"/>
        </w:tabs>
        <w:snapToGrid w:val="0"/>
        <w:spacing w:line="400" w:lineRule="exact"/>
        <w:ind w:firstLine="426" w:firstLineChars="202"/>
        <w:rPr>
          <w:szCs w:val="21"/>
        </w:rPr>
      </w:pPr>
      <w:r>
        <w:rPr>
          <w:rFonts w:hint="eastAsia"/>
          <w:b/>
          <w:szCs w:val="21"/>
        </w:rPr>
        <w:t xml:space="preserve">1 </w:t>
      </w:r>
      <w:r>
        <w:rPr>
          <w:szCs w:val="21"/>
        </w:rPr>
        <w:t xml:space="preserve"> </w:t>
      </w:r>
      <w:r>
        <w:rPr>
          <w:rFonts w:hint="eastAsia"/>
          <w:szCs w:val="21"/>
        </w:rPr>
        <w:t>塔式起重机安全保护装置包括：力矩限制器、起重量限制器、超高限位、变幅限位、钢丝绳防脱槽装置、吊钩防脱钩装置等；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门式起重机安全保护装置主要包括：大小车行走限位、起升高度限位、起升重量限制器、红外线防碰撞限位、钢丝绳防脱槽装置、吊钩防脱钩装置等；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施工升降机安全保护装置主要包括：起重量限制器、限位开关、极限开关、急停开关、安全钩等。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.8</w:t>
      </w:r>
      <w:r>
        <w:rPr>
          <w:rFonts w:hint="eastAsia"/>
          <w:szCs w:val="21"/>
        </w:rPr>
        <w:t xml:space="preserve">  起重机械结构连接包括塔式起重机塔身标准节之间的螺栓或销轴连接，施工升降机导轨架标准节之间的螺栓连接等。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.9</w:t>
      </w:r>
      <w:r>
        <w:rPr>
          <w:rFonts w:hint="eastAsia"/>
          <w:szCs w:val="21"/>
        </w:rPr>
        <w:t xml:space="preserve">  起重机械的零部件主要包括：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塔式起重机零部件主要指制动器、钢丝绳、吊钩等；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门式起重机零部件主要指钢丝绳、制动器、减速器、吊钩等；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施工升降机、物料提升机零部件主要指齿条、导向轮、靠背轮等。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.10</w:t>
      </w:r>
      <w:r>
        <w:rPr>
          <w:rFonts w:hint="eastAsia"/>
          <w:szCs w:val="21"/>
        </w:rPr>
        <w:t xml:space="preserve"> 塔式起重机、施工升降机垂直度偏差大于规范要求主要指独立状态塔身（或附着状态下最高附着点以上塔身）轴心线对支承面的垂直度小于等于</w:t>
      </w:r>
      <w:r>
        <w:rPr>
          <w:szCs w:val="21"/>
        </w:rPr>
        <w:t>4‰</w:t>
      </w:r>
      <w:r>
        <w:rPr>
          <w:rFonts w:hint="eastAsia"/>
          <w:szCs w:val="21"/>
        </w:rPr>
        <w:t>；附着点以下塔身轴心线对支撑面的垂直度小于等于</w:t>
      </w:r>
      <w:r>
        <w:rPr>
          <w:szCs w:val="21"/>
        </w:rPr>
        <w:t>2‰</w:t>
      </w:r>
      <w:r>
        <w:rPr>
          <w:rFonts w:hint="eastAsia"/>
          <w:szCs w:val="21"/>
        </w:rPr>
        <w:t>。</w:t>
      </w:r>
    </w:p>
    <w:p>
      <w:pPr>
        <w:tabs>
          <w:tab w:val="left" w:pos="360"/>
        </w:tabs>
        <w:snapToGrid w:val="0"/>
        <w:spacing w:line="400" w:lineRule="exact"/>
        <w:ind w:firstLine="420" w:firstLineChars="200"/>
        <w:rPr>
          <w:szCs w:val="21"/>
        </w:rPr>
      </w:pPr>
      <w:r>
        <w:rPr>
          <w:rFonts w:hint="eastAsia"/>
          <w:szCs w:val="21"/>
        </w:rPr>
        <w:t>施工升降机和物料提升机的导轨架安装时，应对施工升降机导轨架的垂直度进行测量校准。施工升降机导轨架安装垂直度偏差应符合使用说明书和下表的规定。</w:t>
      </w:r>
    </w:p>
    <w:tbl>
      <w:tblPr>
        <w:tblStyle w:val="34"/>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387"/>
        <w:gridCol w:w="1387"/>
        <w:gridCol w:w="1387"/>
        <w:gridCol w:w="138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1" w:type="dxa"/>
            <w:vAlign w:val="center"/>
          </w:tcPr>
          <w:p>
            <w:pPr>
              <w:tabs>
                <w:tab w:val="left" w:pos="360"/>
              </w:tabs>
              <w:snapToGrid w:val="0"/>
              <w:spacing w:line="400" w:lineRule="exact"/>
              <w:jc w:val="center"/>
              <w:rPr>
                <w:szCs w:val="21"/>
              </w:rPr>
            </w:pPr>
            <w:r>
              <w:rPr>
                <w:rFonts w:hint="eastAsia"/>
                <w:szCs w:val="21"/>
              </w:rPr>
              <w:t>导轨架架设</w:t>
            </w:r>
          </w:p>
          <w:p>
            <w:pPr>
              <w:tabs>
                <w:tab w:val="left" w:pos="360"/>
              </w:tabs>
              <w:snapToGrid w:val="0"/>
              <w:spacing w:line="400" w:lineRule="exact"/>
              <w:jc w:val="center"/>
              <w:rPr>
                <w:szCs w:val="21"/>
              </w:rPr>
            </w:pPr>
            <w:r>
              <w:rPr>
                <w:rFonts w:hint="eastAsia"/>
                <w:szCs w:val="21"/>
              </w:rPr>
              <w:t>高度</w:t>
            </w:r>
            <w:r>
              <w:rPr>
                <w:szCs w:val="21"/>
              </w:rPr>
              <w:t>h（</w:t>
            </w:r>
            <w:r>
              <w:rPr>
                <w:rFonts w:hint="eastAsia"/>
                <w:szCs w:val="21"/>
                <w:lang w:eastAsia="zh-CN"/>
              </w:rPr>
              <w:t>m</w:t>
            </w:r>
            <w:r>
              <w:rPr>
                <w:szCs w:val="21"/>
              </w:rPr>
              <w:t>）</w:t>
            </w:r>
          </w:p>
        </w:tc>
        <w:tc>
          <w:tcPr>
            <w:tcW w:w="1387" w:type="dxa"/>
            <w:vAlign w:val="center"/>
          </w:tcPr>
          <w:p>
            <w:pPr>
              <w:tabs>
                <w:tab w:val="left" w:pos="360"/>
              </w:tabs>
              <w:snapToGrid w:val="0"/>
              <w:spacing w:line="400" w:lineRule="exact"/>
              <w:jc w:val="center"/>
              <w:rPr>
                <w:szCs w:val="21"/>
              </w:rPr>
            </w:pPr>
            <w:r>
              <w:rPr>
                <w:szCs w:val="21"/>
              </w:rPr>
              <w:t>h≤70</w:t>
            </w:r>
          </w:p>
        </w:tc>
        <w:tc>
          <w:tcPr>
            <w:tcW w:w="1387" w:type="dxa"/>
            <w:vAlign w:val="center"/>
          </w:tcPr>
          <w:p>
            <w:pPr>
              <w:tabs>
                <w:tab w:val="left" w:pos="360"/>
              </w:tabs>
              <w:snapToGrid w:val="0"/>
              <w:spacing w:line="400" w:lineRule="exact"/>
              <w:jc w:val="center"/>
              <w:rPr>
                <w:szCs w:val="21"/>
              </w:rPr>
            </w:pPr>
            <w:r>
              <w:rPr>
                <w:szCs w:val="21"/>
              </w:rPr>
              <w:t>70＜h≤100</w:t>
            </w:r>
          </w:p>
        </w:tc>
        <w:tc>
          <w:tcPr>
            <w:tcW w:w="1387" w:type="dxa"/>
            <w:vAlign w:val="center"/>
          </w:tcPr>
          <w:p>
            <w:pPr>
              <w:tabs>
                <w:tab w:val="left" w:pos="360"/>
              </w:tabs>
              <w:snapToGrid w:val="0"/>
              <w:spacing w:line="400" w:lineRule="exact"/>
              <w:jc w:val="center"/>
              <w:rPr>
                <w:szCs w:val="21"/>
              </w:rPr>
            </w:pPr>
            <w:r>
              <w:rPr>
                <w:szCs w:val="21"/>
              </w:rPr>
              <w:t>100＜h≤150</w:t>
            </w:r>
          </w:p>
        </w:tc>
        <w:tc>
          <w:tcPr>
            <w:tcW w:w="1387" w:type="dxa"/>
            <w:vAlign w:val="center"/>
          </w:tcPr>
          <w:p>
            <w:pPr>
              <w:tabs>
                <w:tab w:val="left" w:pos="360"/>
              </w:tabs>
              <w:snapToGrid w:val="0"/>
              <w:spacing w:line="400" w:lineRule="exact"/>
              <w:jc w:val="center"/>
              <w:rPr>
                <w:szCs w:val="21"/>
              </w:rPr>
            </w:pPr>
            <w:r>
              <w:rPr>
                <w:szCs w:val="21"/>
              </w:rPr>
              <w:t>150＜h≤200</w:t>
            </w:r>
          </w:p>
        </w:tc>
        <w:tc>
          <w:tcPr>
            <w:tcW w:w="1240" w:type="dxa"/>
            <w:vAlign w:val="center"/>
          </w:tcPr>
          <w:p>
            <w:pPr>
              <w:tabs>
                <w:tab w:val="left" w:pos="360"/>
              </w:tabs>
              <w:snapToGrid w:val="0"/>
              <w:spacing w:line="400" w:lineRule="exact"/>
              <w:jc w:val="center"/>
              <w:rPr>
                <w:szCs w:val="21"/>
              </w:rPr>
            </w:pPr>
            <w:r>
              <w:rPr>
                <w:szCs w:val="21"/>
              </w:rPr>
              <w:t>h＞200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571" w:type="dxa"/>
            <w:vMerge w:val="restart"/>
            <w:vAlign w:val="center"/>
          </w:tcPr>
          <w:p>
            <w:pPr>
              <w:tabs>
                <w:tab w:val="left" w:pos="360"/>
              </w:tabs>
              <w:snapToGrid w:val="0"/>
              <w:spacing w:line="400" w:lineRule="exact"/>
              <w:jc w:val="center"/>
              <w:rPr>
                <w:szCs w:val="21"/>
              </w:rPr>
            </w:pPr>
            <w:r>
              <w:rPr>
                <w:rFonts w:hint="eastAsia"/>
                <w:szCs w:val="21"/>
              </w:rPr>
              <w:t>垂直度偏差</w:t>
            </w:r>
          </w:p>
          <w:p>
            <w:pPr>
              <w:tabs>
                <w:tab w:val="left" w:pos="360"/>
              </w:tabs>
              <w:snapToGrid w:val="0"/>
              <w:spacing w:line="400" w:lineRule="exact"/>
              <w:jc w:val="center"/>
              <w:rPr>
                <w:szCs w:val="21"/>
              </w:rPr>
            </w:pPr>
            <w:r>
              <w:rPr>
                <w:szCs w:val="21"/>
              </w:rPr>
              <w:t>（</w:t>
            </w:r>
            <w:r>
              <w:rPr>
                <w:rFonts w:hint="eastAsia"/>
                <w:szCs w:val="21"/>
                <w:lang w:eastAsia="zh-CN"/>
              </w:rPr>
              <w:t>mm</w:t>
            </w:r>
            <w:r>
              <w:rPr>
                <w:szCs w:val="21"/>
              </w:rPr>
              <w:t>）</w:t>
            </w:r>
          </w:p>
        </w:tc>
        <w:tc>
          <w:tcPr>
            <w:tcW w:w="1387" w:type="dxa"/>
            <w:vAlign w:val="center"/>
          </w:tcPr>
          <w:p>
            <w:pPr>
              <w:tabs>
                <w:tab w:val="left" w:pos="360"/>
              </w:tabs>
              <w:snapToGrid w:val="0"/>
              <w:spacing w:line="400" w:lineRule="exact"/>
              <w:jc w:val="center"/>
              <w:rPr>
                <w:szCs w:val="21"/>
              </w:rPr>
            </w:pPr>
            <w:r>
              <w:rPr>
                <w:rFonts w:hint="eastAsia"/>
                <w:szCs w:val="21"/>
              </w:rPr>
              <w:t>不大于</w:t>
            </w:r>
            <w:r>
              <w:rPr>
                <w:szCs w:val="21"/>
              </w:rPr>
              <w:t>（1/1000）h</w:t>
            </w:r>
          </w:p>
        </w:tc>
        <w:tc>
          <w:tcPr>
            <w:tcW w:w="1387" w:type="dxa"/>
            <w:vAlign w:val="center"/>
          </w:tcPr>
          <w:p>
            <w:pPr>
              <w:tabs>
                <w:tab w:val="left" w:pos="360"/>
              </w:tabs>
              <w:snapToGrid w:val="0"/>
              <w:spacing w:line="400" w:lineRule="exact"/>
              <w:jc w:val="center"/>
              <w:rPr>
                <w:szCs w:val="21"/>
              </w:rPr>
            </w:pPr>
            <w:r>
              <w:rPr>
                <w:szCs w:val="21"/>
              </w:rPr>
              <w:t>≤70</w:t>
            </w:r>
          </w:p>
        </w:tc>
        <w:tc>
          <w:tcPr>
            <w:tcW w:w="1387" w:type="dxa"/>
            <w:vAlign w:val="center"/>
          </w:tcPr>
          <w:p>
            <w:pPr>
              <w:tabs>
                <w:tab w:val="left" w:pos="360"/>
              </w:tabs>
              <w:snapToGrid w:val="0"/>
              <w:spacing w:line="400" w:lineRule="exact"/>
              <w:jc w:val="center"/>
              <w:rPr>
                <w:szCs w:val="21"/>
              </w:rPr>
            </w:pPr>
            <w:r>
              <w:rPr>
                <w:szCs w:val="21"/>
              </w:rPr>
              <w:t>≤90</w:t>
            </w:r>
          </w:p>
        </w:tc>
        <w:tc>
          <w:tcPr>
            <w:tcW w:w="1387" w:type="dxa"/>
            <w:vAlign w:val="center"/>
          </w:tcPr>
          <w:p>
            <w:pPr>
              <w:tabs>
                <w:tab w:val="left" w:pos="360"/>
              </w:tabs>
              <w:snapToGrid w:val="0"/>
              <w:spacing w:line="400" w:lineRule="exact"/>
              <w:jc w:val="center"/>
              <w:rPr>
                <w:szCs w:val="21"/>
              </w:rPr>
            </w:pPr>
            <w:r>
              <w:rPr>
                <w:szCs w:val="21"/>
              </w:rPr>
              <w:t>≤110</w:t>
            </w:r>
          </w:p>
        </w:tc>
        <w:tc>
          <w:tcPr>
            <w:tcW w:w="1240" w:type="dxa"/>
            <w:vAlign w:val="center"/>
          </w:tcPr>
          <w:p>
            <w:pPr>
              <w:tabs>
                <w:tab w:val="left" w:pos="360"/>
              </w:tabs>
              <w:snapToGrid w:val="0"/>
              <w:spacing w:line="400" w:lineRule="exact"/>
              <w:jc w:val="center"/>
              <w:rPr>
                <w:szCs w:val="21"/>
              </w:rPr>
            </w:pPr>
            <w:r>
              <w:rPr>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571" w:type="dxa"/>
            <w:vMerge w:val="continue"/>
            <w:vAlign w:val="center"/>
          </w:tcPr>
          <w:p>
            <w:pPr>
              <w:tabs>
                <w:tab w:val="left" w:pos="360"/>
              </w:tabs>
              <w:snapToGrid w:val="0"/>
              <w:spacing w:line="400" w:lineRule="exact"/>
              <w:rPr>
                <w:szCs w:val="21"/>
              </w:rPr>
            </w:pPr>
          </w:p>
        </w:tc>
        <w:tc>
          <w:tcPr>
            <w:tcW w:w="6788" w:type="dxa"/>
            <w:gridSpan w:val="5"/>
            <w:vAlign w:val="center"/>
          </w:tcPr>
          <w:p>
            <w:pPr>
              <w:tabs>
                <w:tab w:val="left" w:pos="360"/>
              </w:tabs>
              <w:snapToGrid w:val="0"/>
              <w:spacing w:line="400" w:lineRule="exact"/>
              <w:jc w:val="center"/>
              <w:rPr>
                <w:szCs w:val="21"/>
              </w:rPr>
            </w:pPr>
            <w:r>
              <w:rPr>
                <w:rFonts w:hint="eastAsia"/>
                <w:szCs w:val="21"/>
              </w:rPr>
              <w:t>物料提升机垂直度偏差不大于</w:t>
            </w:r>
            <w:r>
              <w:rPr>
                <w:szCs w:val="21"/>
              </w:rPr>
              <w:t>（1.5/1000）h</w:t>
            </w:r>
          </w:p>
        </w:tc>
      </w:tr>
    </w:tbl>
    <w:p>
      <w:pPr>
        <w:tabs>
          <w:tab w:val="left" w:pos="360"/>
        </w:tabs>
        <w:snapToGrid w:val="0"/>
        <w:spacing w:line="400" w:lineRule="exact"/>
        <w:rPr>
          <w:szCs w:val="21"/>
        </w:rPr>
      </w:pPr>
      <w:r>
        <w:rPr>
          <w:rFonts w:hint="eastAsia"/>
          <w:b/>
          <w:szCs w:val="21"/>
        </w:rPr>
        <w:t>4.</w:t>
      </w:r>
      <w:r>
        <w:rPr>
          <w:b/>
          <w:szCs w:val="21"/>
        </w:rPr>
        <w:t>7.1</w:t>
      </w:r>
      <w:r>
        <w:rPr>
          <w:rFonts w:hint="eastAsia"/>
          <w:b/>
          <w:szCs w:val="21"/>
        </w:rPr>
        <w:t>8</w:t>
      </w:r>
      <w:r>
        <w:rPr>
          <w:rFonts w:hint="eastAsia"/>
          <w:szCs w:val="21"/>
        </w:rPr>
        <w:t xml:space="preserve"> 起重机械吊装时，其任何部位或被吊物与架空线路的最小安全距离不符合规定；或越过无防护设施的外电架空线路作业。</w:t>
      </w:r>
    </w:p>
    <w:p>
      <w:pPr>
        <w:tabs>
          <w:tab w:val="left" w:pos="360"/>
        </w:tabs>
        <w:snapToGrid w:val="0"/>
        <w:spacing w:line="400" w:lineRule="exact"/>
        <w:ind w:firstLine="420" w:firstLineChars="200"/>
        <w:rPr>
          <w:szCs w:val="21"/>
        </w:rPr>
      </w:pPr>
      <w:r>
        <w:rPr>
          <w:rFonts w:hint="eastAsia"/>
          <w:szCs w:val="21"/>
        </w:rPr>
        <w:t>起重机械与架空线路边线的最小安全距离符合下表规定：</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68"/>
        <w:gridCol w:w="900"/>
        <w:gridCol w:w="900"/>
        <w:gridCol w:w="900"/>
        <w:gridCol w:w="900"/>
        <w:gridCol w:w="900"/>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电压（</w:t>
            </w:r>
            <w:r>
              <w:rPr>
                <w:szCs w:val="21"/>
              </w:rPr>
              <w:t>kV</w:t>
            </w:r>
            <w:r>
              <w:rPr>
                <w:rFonts w:hint="eastAsia"/>
                <w:szCs w:val="21"/>
              </w:rPr>
              <w:t>）安全距离</w:t>
            </w:r>
            <w:r>
              <w:rPr>
                <w:szCs w:val="21"/>
              </w:rPr>
              <w:t>(</w:t>
            </w:r>
            <w:r>
              <w:rPr>
                <w:rFonts w:hint="eastAsia"/>
                <w:szCs w:val="21"/>
                <w:lang w:eastAsia="zh-CN"/>
              </w:rPr>
              <w:t>m</w:t>
            </w:r>
            <w:r>
              <w:rPr>
                <w:szCs w:val="21"/>
              </w:rPr>
              <w:t>)</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&lt;1</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110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220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330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沿垂直方向</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4.0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5.0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6.0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7.0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沿水平方向</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2.0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4.0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6.0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7.0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8.5</w:t>
            </w:r>
          </w:p>
        </w:tc>
      </w:tr>
    </w:tbl>
    <w:p>
      <w:pPr>
        <w:tabs>
          <w:tab w:val="left" w:pos="360"/>
        </w:tabs>
        <w:snapToGrid w:val="0"/>
        <w:spacing w:line="400" w:lineRule="exact"/>
        <w:rPr>
          <w:szCs w:val="21"/>
        </w:rPr>
      </w:pPr>
      <w:r>
        <w:rPr>
          <w:rFonts w:hint="eastAsia"/>
          <w:b/>
          <w:szCs w:val="21"/>
        </w:rPr>
        <w:t>4.7.20</w:t>
      </w:r>
      <w:r>
        <w:rPr>
          <w:rFonts w:hint="eastAsia"/>
          <w:szCs w:val="21"/>
        </w:rPr>
        <w:t xml:space="preserve"> 起重吊装作业“十不吊”：</w:t>
      </w:r>
    </w:p>
    <w:p>
      <w:pPr>
        <w:tabs>
          <w:tab w:val="left" w:pos="360"/>
        </w:tabs>
        <w:snapToGrid w:val="0"/>
        <w:spacing w:line="400" w:lineRule="exact"/>
        <w:ind w:firstLine="426" w:firstLineChars="202"/>
        <w:rPr>
          <w:rFonts w:hint="eastAsia"/>
          <w:szCs w:val="21"/>
        </w:rPr>
      </w:pPr>
      <w:r>
        <w:rPr>
          <w:rFonts w:hint="eastAsia"/>
          <w:b/>
          <w:szCs w:val="21"/>
        </w:rPr>
        <w:t>1</w:t>
      </w:r>
      <w:r>
        <w:rPr>
          <w:rFonts w:hint="eastAsia"/>
          <w:szCs w:val="21"/>
        </w:rPr>
        <w:t xml:space="preserve">  超载或被吊物重量不清不吊；</w:t>
      </w:r>
    </w:p>
    <w:p>
      <w:pPr>
        <w:tabs>
          <w:tab w:val="left" w:pos="360"/>
        </w:tabs>
        <w:snapToGrid w:val="0"/>
        <w:spacing w:line="400" w:lineRule="exact"/>
        <w:ind w:firstLine="426" w:firstLineChars="202"/>
        <w:rPr>
          <w:rFonts w:hint="eastAsia"/>
          <w:szCs w:val="21"/>
        </w:rPr>
      </w:pPr>
      <w:r>
        <w:rPr>
          <w:rFonts w:hint="eastAsia"/>
          <w:b/>
          <w:szCs w:val="21"/>
        </w:rPr>
        <w:t>2</w:t>
      </w:r>
      <w:r>
        <w:rPr>
          <w:rFonts w:hint="eastAsia"/>
          <w:szCs w:val="21"/>
        </w:rPr>
        <w:t xml:space="preserve">  指挥信号不明确不吊；</w:t>
      </w:r>
    </w:p>
    <w:p>
      <w:pPr>
        <w:tabs>
          <w:tab w:val="left" w:pos="360"/>
        </w:tabs>
        <w:snapToGrid w:val="0"/>
        <w:spacing w:line="400" w:lineRule="exact"/>
        <w:ind w:firstLine="426" w:firstLineChars="202"/>
        <w:rPr>
          <w:rFonts w:hint="eastAsia"/>
          <w:szCs w:val="21"/>
        </w:rPr>
      </w:pPr>
      <w:r>
        <w:rPr>
          <w:rFonts w:hint="eastAsia"/>
          <w:b/>
          <w:szCs w:val="21"/>
        </w:rPr>
        <w:t>3</w:t>
      </w:r>
      <w:r>
        <w:rPr>
          <w:rFonts w:hint="eastAsia"/>
          <w:szCs w:val="21"/>
        </w:rPr>
        <w:t xml:space="preserve">  捆绑、吊挂不牢或不平衡，可能引起滑动时不吊；</w:t>
      </w:r>
    </w:p>
    <w:p>
      <w:pPr>
        <w:tabs>
          <w:tab w:val="left" w:pos="360"/>
        </w:tabs>
        <w:snapToGrid w:val="0"/>
        <w:spacing w:line="400" w:lineRule="exact"/>
        <w:ind w:firstLine="426" w:firstLineChars="202"/>
        <w:rPr>
          <w:rFonts w:hint="eastAsia"/>
          <w:szCs w:val="21"/>
        </w:rPr>
      </w:pPr>
      <w:r>
        <w:rPr>
          <w:rFonts w:hint="eastAsia"/>
          <w:b/>
          <w:szCs w:val="21"/>
        </w:rPr>
        <w:t>4</w:t>
      </w:r>
      <w:r>
        <w:rPr>
          <w:rFonts w:hint="eastAsia"/>
          <w:szCs w:val="21"/>
        </w:rPr>
        <w:t xml:space="preserve">  被吊物上有人或浮置物时不吊；</w:t>
      </w:r>
    </w:p>
    <w:p>
      <w:pPr>
        <w:tabs>
          <w:tab w:val="left" w:pos="360"/>
        </w:tabs>
        <w:snapToGrid w:val="0"/>
        <w:spacing w:line="400" w:lineRule="exact"/>
        <w:ind w:firstLine="426" w:firstLineChars="202"/>
        <w:rPr>
          <w:rFonts w:hint="eastAsia"/>
          <w:szCs w:val="21"/>
        </w:rPr>
      </w:pPr>
      <w:r>
        <w:rPr>
          <w:rFonts w:hint="eastAsia"/>
          <w:b/>
          <w:szCs w:val="21"/>
        </w:rPr>
        <w:t>5</w:t>
      </w:r>
      <w:r>
        <w:rPr>
          <w:rFonts w:hint="eastAsia"/>
          <w:szCs w:val="21"/>
        </w:rPr>
        <w:t xml:space="preserve">  结构或零部件有影响安全工作的缺陷或损伤时不吊；</w:t>
      </w:r>
    </w:p>
    <w:p>
      <w:pPr>
        <w:tabs>
          <w:tab w:val="left" w:pos="360"/>
        </w:tabs>
        <w:snapToGrid w:val="0"/>
        <w:spacing w:line="400" w:lineRule="exact"/>
        <w:ind w:firstLine="426" w:firstLineChars="202"/>
        <w:rPr>
          <w:rFonts w:hint="eastAsia"/>
          <w:szCs w:val="21"/>
        </w:rPr>
      </w:pPr>
      <w:r>
        <w:rPr>
          <w:rFonts w:hint="eastAsia"/>
          <w:b/>
          <w:szCs w:val="21"/>
        </w:rPr>
        <w:t>6</w:t>
      </w:r>
      <w:r>
        <w:rPr>
          <w:rFonts w:hint="eastAsia"/>
          <w:szCs w:val="21"/>
        </w:rPr>
        <w:t xml:space="preserve">  遇有拉力不清的埋置物件时不吊；</w:t>
      </w:r>
    </w:p>
    <w:p>
      <w:pPr>
        <w:tabs>
          <w:tab w:val="left" w:pos="360"/>
        </w:tabs>
        <w:snapToGrid w:val="0"/>
        <w:spacing w:line="400" w:lineRule="exact"/>
        <w:ind w:firstLine="426" w:firstLineChars="202"/>
        <w:rPr>
          <w:rFonts w:hint="eastAsia"/>
          <w:szCs w:val="21"/>
        </w:rPr>
      </w:pPr>
      <w:r>
        <w:rPr>
          <w:rFonts w:hint="eastAsia"/>
          <w:b/>
          <w:szCs w:val="21"/>
        </w:rPr>
        <w:t>7</w:t>
      </w:r>
      <w:r>
        <w:rPr>
          <w:rFonts w:hint="eastAsia"/>
          <w:szCs w:val="21"/>
        </w:rPr>
        <w:t xml:space="preserve">  工作场地昏暗，无法看清场地、被吊物和指挥信号时不吊；</w:t>
      </w:r>
    </w:p>
    <w:p>
      <w:pPr>
        <w:tabs>
          <w:tab w:val="left" w:pos="360"/>
        </w:tabs>
        <w:snapToGrid w:val="0"/>
        <w:spacing w:line="400" w:lineRule="exact"/>
        <w:ind w:firstLine="426" w:firstLineChars="202"/>
        <w:rPr>
          <w:rFonts w:hint="eastAsia"/>
          <w:szCs w:val="21"/>
        </w:rPr>
      </w:pPr>
      <w:r>
        <w:rPr>
          <w:rFonts w:hint="eastAsia"/>
          <w:b/>
          <w:szCs w:val="21"/>
        </w:rPr>
        <w:t>8</w:t>
      </w:r>
      <w:r>
        <w:rPr>
          <w:rFonts w:hint="eastAsia"/>
          <w:szCs w:val="21"/>
        </w:rPr>
        <w:t xml:space="preserve">  被吊物棱角处与捆绑钢绳间未加衬垫时不吊；</w:t>
      </w:r>
    </w:p>
    <w:p>
      <w:pPr>
        <w:tabs>
          <w:tab w:val="left" w:pos="360"/>
        </w:tabs>
        <w:snapToGrid w:val="0"/>
        <w:spacing w:line="400" w:lineRule="exact"/>
        <w:ind w:firstLine="426" w:firstLineChars="202"/>
        <w:rPr>
          <w:rFonts w:hint="eastAsia"/>
          <w:szCs w:val="21"/>
        </w:rPr>
      </w:pPr>
      <w:r>
        <w:rPr>
          <w:rFonts w:hint="eastAsia"/>
          <w:b/>
          <w:szCs w:val="21"/>
        </w:rPr>
        <w:t>9</w:t>
      </w:r>
      <w:r>
        <w:rPr>
          <w:rFonts w:hint="eastAsia"/>
          <w:szCs w:val="21"/>
        </w:rPr>
        <w:t xml:space="preserve">  歪拉斜吊重物时不吊；</w:t>
      </w:r>
    </w:p>
    <w:p>
      <w:pPr>
        <w:tabs>
          <w:tab w:val="left" w:pos="360"/>
        </w:tabs>
        <w:snapToGrid w:val="0"/>
        <w:spacing w:line="400" w:lineRule="exact"/>
        <w:ind w:firstLine="426" w:firstLineChars="202"/>
        <w:rPr>
          <w:szCs w:val="21"/>
        </w:rPr>
      </w:pPr>
      <w:r>
        <w:rPr>
          <w:rFonts w:hint="eastAsia"/>
          <w:b/>
          <w:szCs w:val="21"/>
        </w:rPr>
        <w:t>10</w:t>
      </w:r>
      <w:r>
        <w:rPr>
          <w:rFonts w:hint="eastAsia"/>
          <w:szCs w:val="21"/>
        </w:rPr>
        <w:t xml:space="preserve"> 容器内装的物品过满时不吊。</w:t>
      </w:r>
    </w:p>
    <w:p>
      <w:pPr>
        <w:pStyle w:val="2"/>
        <w:rPr>
          <w:rFonts w:hint="eastAsia" w:eastAsia="宋体"/>
          <w:lang w:eastAsia="zh-CN"/>
        </w:rPr>
      </w:pPr>
      <w:bookmarkStart w:id="111" w:name="_Toc519687463"/>
      <w:bookmarkStart w:id="112" w:name="_Toc519609698"/>
      <w:bookmarkStart w:id="113" w:name="_Toc519674692"/>
      <w:bookmarkStart w:id="114" w:name="_Toc16377"/>
      <w:bookmarkStart w:id="115" w:name="_Toc519760517"/>
      <w:r>
        <w:rPr>
          <w:rFonts w:hint="eastAsia"/>
          <w:szCs w:val="21"/>
        </w:rPr>
        <w:t>5</w:t>
      </w:r>
      <w:r>
        <w:rPr>
          <w:rFonts w:hint="eastAsia"/>
        </w:rPr>
        <w:t xml:space="preserve">  市政基础设施工程</w:t>
      </w:r>
      <w:bookmarkEnd w:id="111"/>
      <w:bookmarkEnd w:id="112"/>
      <w:bookmarkEnd w:id="113"/>
      <w:bookmarkEnd w:id="114"/>
      <w:bookmarkEnd w:id="115"/>
      <w:r>
        <w:rPr>
          <w:rFonts w:hint="eastAsia"/>
          <w:lang w:eastAsia="zh-CN"/>
        </w:rPr>
        <w:t>重大生产安全事故隐患</w:t>
      </w:r>
    </w:p>
    <w:p>
      <w:pPr>
        <w:pStyle w:val="3"/>
      </w:pPr>
      <w:bookmarkStart w:id="116" w:name="_Toc519687464"/>
      <w:bookmarkStart w:id="117" w:name="_Toc519609699"/>
      <w:bookmarkStart w:id="118" w:name="_Toc519760518"/>
      <w:bookmarkStart w:id="119" w:name="_Toc519674693"/>
      <w:bookmarkStart w:id="120" w:name="_Toc20668"/>
      <w:r>
        <w:rPr>
          <w:rFonts w:ascii="Times New Roman" w:hAnsi="Times New Roman"/>
        </w:rPr>
        <w:t xml:space="preserve">5.2  </w:t>
      </w:r>
      <w:r>
        <w:rPr>
          <w:rFonts w:hint="eastAsia"/>
        </w:rPr>
        <w:t>脚手架、模板支架体系</w:t>
      </w:r>
      <w:bookmarkEnd w:id="116"/>
      <w:bookmarkEnd w:id="117"/>
      <w:bookmarkEnd w:id="118"/>
      <w:bookmarkEnd w:id="119"/>
      <w:bookmarkEnd w:id="120"/>
    </w:p>
    <w:p>
      <w:pPr>
        <w:tabs>
          <w:tab w:val="left" w:pos="360"/>
        </w:tabs>
        <w:snapToGrid w:val="0"/>
        <w:spacing w:line="400" w:lineRule="exact"/>
        <w:rPr>
          <w:szCs w:val="21"/>
        </w:rPr>
      </w:pPr>
      <w:r>
        <w:rPr>
          <w:rFonts w:hint="eastAsia"/>
          <w:b/>
          <w:szCs w:val="21"/>
        </w:rPr>
        <w:t>5</w:t>
      </w:r>
      <w:r>
        <w:rPr>
          <w:b/>
          <w:szCs w:val="21"/>
        </w:rPr>
        <w:t>.2.</w:t>
      </w:r>
      <w:r>
        <w:rPr>
          <w:rFonts w:hint="eastAsia"/>
          <w:b/>
          <w:szCs w:val="21"/>
        </w:rPr>
        <w:t>2</w:t>
      </w:r>
      <w:r>
        <w:rPr>
          <w:rFonts w:hint="eastAsia"/>
          <w:szCs w:val="21"/>
        </w:rPr>
        <w:t xml:space="preserve">  “施工荷载大于设计荷载”包括：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混凝土浇筑时，经计算施工荷载超过设计规定；</w:t>
      </w:r>
    </w:p>
    <w:p>
      <w:pPr>
        <w:tabs>
          <w:tab w:val="left" w:pos="360"/>
        </w:tabs>
        <w:snapToGrid w:val="0"/>
        <w:spacing w:line="400" w:lineRule="exact"/>
        <w:ind w:firstLine="426" w:firstLineChars="202"/>
        <w:rPr>
          <w:szCs w:val="21"/>
        </w:rPr>
      </w:pPr>
      <w:r>
        <w:rPr>
          <w:rFonts w:hint="eastAsia"/>
          <w:b/>
          <w:szCs w:val="21"/>
        </w:rPr>
        <w:t>2</w:t>
      </w:r>
      <w:r>
        <w:rPr>
          <w:szCs w:val="21"/>
        </w:rPr>
        <w:t xml:space="preserve"> </w:t>
      </w:r>
      <w:r>
        <w:rPr>
          <w:rFonts w:hint="eastAsia"/>
          <w:szCs w:val="21"/>
        </w:rPr>
        <w:t xml:space="preserve"> 危险性较大的模板支架工程，未按照专项施工方案规定的顺序进行混凝土浇筑导致支架偏心受力。</w:t>
      </w:r>
    </w:p>
    <w:p>
      <w:pPr>
        <w:tabs>
          <w:tab w:val="left" w:pos="360"/>
        </w:tabs>
        <w:snapToGrid w:val="0"/>
        <w:spacing w:line="400" w:lineRule="exact"/>
        <w:rPr>
          <w:szCs w:val="21"/>
        </w:rPr>
      </w:pPr>
      <w:r>
        <w:rPr>
          <w:rFonts w:hint="eastAsia"/>
          <w:b/>
          <w:szCs w:val="21"/>
        </w:rPr>
        <w:t>5</w:t>
      </w:r>
      <w:r>
        <w:rPr>
          <w:b/>
          <w:szCs w:val="21"/>
        </w:rPr>
        <w:t>.2.</w:t>
      </w:r>
      <w:r>
        <w:rPr>
          <w:rFonts w:hint="eastAsia"/>
          <w:b/>
          <w:szCs w:val="21"/>
        </w:rPr>
        <w:t>3</w:t>
      </w:r>
      <w:r>
        <w:rPr>
          <w:rFonts w:hint="eastAsia"/>
          <w:szCs w:val="21"/>
        </w:rPr>
        <w:t xml:space="preserve">  根据《混凝土结构工程施工规范》（GB50666-2011）第4.5.2条，混凝土强度达到设计要求后，方可拆除底模及支架；当设计无具体要求时，同条件养护的混凝土立方体试件抗压强度应符合以下规定：</w:t>
      </w:r>
    </w:p>
    <w:p>
      <w:pPr>
        <w:tabs>
          <w:tab w:val="left" w:pos="360"/>
        </w:tabs>
        <w:snapToGrid w:val="0"/>
        <w:spacing w:line="400" w:lineRule="exact"/>
        <w:ind w:firstLine="426" w:firstLineChars="202"/>
        <w:rPr>
          <w:color w:val="000000"/>
          <w:szCs w:val="21"/>
        </w:rPr>
      </w:pPr>
      <w:r>
        <w:rPr>
          <w:rFonts w:hint="eastAsia"/>
          <w:b/>
          <w:color w:val="000000"/>
          <w:szCs w:val="21"/>
        </w:rPr>
        <w:t>1</w:t>
      </w:r>
      <w:r>
        <w:rPr>
          <w:rFonts w:hint="eastAsia"/>
          <w:color w:val="000000"/>
          <w:szCs w:val="21"/>
        </w:rPr>
        <w:t xml:space="preserve">  板：当跨度</w:t>
      </w:r>
      <w:r>
        <w:rPr>
          <w:color w:val="000000"/>
          <w:szCs w:val="21"/>
        </w:rPr>
        <w:t>≤</w:t>
      </w:r>
      <w:r>
        <w:rPr>
          <w:rFonts w:hint="eastAsia"/>
          <w:color w:val="000000"/>
          <w:szCs w:val="21"/>
        </w:rPr>
        <w:t>2</w:t>
      </w:r>
      <w:r>
        <w:rPr>
          <w:rFonts w:hint="eastAsia"/>
          <w:color w:val="000000"/>
          <w:szCs w:val="21"/>
          <w:lang w:eastAsia="zh-CN"/>
        </w:rPr>
        <w:t>m</w:t>
      </w:r>
      <w:r>
        <w:rPr>
          <w:rFonts w:hint="eastAsia"/>
          <w:color w:val="000000"/>
          <w:szCs w:val="21"/>
        </w:rPr>
        <w:t>时，混凝土抗压强度应</w:t>
      </w:r>
      <w:r>
        <w:rPr>
          <w:color w:val="000000"/>
          <w:szCs w:val="21"/>
        </w:rPr>
        <w:t>≥</w:t>
      </w:r>
      <w:r>
        <w:rPr>
          <w:rFonts w:hint="eastAsia"/>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rFonts w:hint="eastAsia"/>
          <w:color w:val="000000"/>
          <w:szCs w:val="21"/>
        </w:rPr>
        <w:fldChar w:fldCharType="separate"/>
      </w:r>
      <w:r>
        <w:rPr>
          <w:rStyle w:val="32"/>
          <w:rFonts w:hint="eastAsia"/>
          <w:color w:val="000000"/>
          <w:szCs w:val="21"/>
          <w:u w:val="none"/>
        </w:rPr>
        <w:t>50％</w:t>
      </w:r>
      <w:r>
        <w:rPr>
          <w:rFonts w:hint="eastAsia"/>
          <w:color w:val="000000"/>
          <w:szCs w:val="21"/>
        </w:rPr>
        <w:fldChar w:fldCharType="end"/>
      </w:r>
      <w:r>
        <w:rPr>
          <w:rFonts w:hint="eastAsia"/>
          <w:color w:val="000000"/>
          <w:szCs w:val="21"/>
        </w:rPr>
        <w:t>设计标准值；当跨度&gt;2</w:t>
      </w:r>
      <w:r>
        <w:rPr>
          <w:rFonts w:hint="eastAsia"/>
          <w:color w:val="000000"/>
          <w:szCs w:val="21"/>
          <w:lang w:eastAsia="zh-CN"/>
        </w:rPr>
        <w:t>m</w:t>
      </w:r>
      <w:r>
        <w:rPr>
          <w:rFonts w:hint="eastAsia"/>
          <w:color w:val="000000"/>
          <w:szCs w:val="21"/>
        </w:rPr>
        <w:t>，</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rFonts w:hint="eastAsia"/>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rFonts w:hint="eastAsia"/>
          <w:color w:val="000000"/>
          <w:szCs w:val="21"/>
        </w:rPr>
        <w:fldChar w:fldCharType="separate"/>
      </w:r>
      <w:r>
        <w:rPr>
          <w:rStyle w:val="32"/>
          <w:rFonts w:hint="eastAsia"/>
          <w:color w:val="000000"/>
          <w:szCs w:val="21"/>
          <w:u w:val="none"/>
        </w:rPr>
        <w:t>75％</w:t>
      </w:r>
      <w:r>
        <w:rPr>
          <w:rFonts w:hint="eastAsia"/>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 xml:space="preserve">设计标准值； </w:t>
      </w:r>
    </w:p>
    <w:p>
      <w:pPr>
        <w:tabs>
          <w:tab w:val="left" w:pos="360"/>
        </w:tabs>
        <w:snapToGrid w:val="0"/>
        <w:spacing w:line="400" w:lineRule="exact"/>
        <w:ind w:firstLine="426" w:firstLineChars="202"/>
        <w:rPr>
          <w:color w:val="000000"/>
          <w:szCs w:val="21"/>
        </w:rPr>
      </w:pPr>
      <w:r>
        <w:rPr>
          <w:rFonts w:hint="eastAsia"/>
          <w:b/>
          <w:color w:val="000000"/>
          <w:szCs w:val="21"/>
        </w:rPr>
        <w:t>2</w:t>
      </w:r>
      <w:r>
        <w:rPr>
          <w:rFonts w:hint="eastAsia"/>
          <w:color w:val="000000"/>
          <w:szCs w:val="21"/>
        </w:rPr>
        <w:t xml:space="preserve">  梁、拱、壳：当跨度</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tabs>
          <w:tab w:val="left" w:pos="360"/>
        </w:tabs>
        <w:snapToGrid w:val="0"/>
        <w:spacing w:line="400" w:lineRule="exact"/>
        <w:ind w:firstLine="426" w:firstLineChars="202"/>
        <w:rPr>
          <w:szCs w:val="21"/>
        </w:rPr>
      </w:pPr>
      <w:r>
        <w:rPr>
          <w:rFonts w:hint="eastAsia"/>
          <w:b/>
          <w:color w:val="000000"/>
          <w:szCs w:val="21"/>
        </w:rPr>
        <w:t>3</w:t>
      </w:r>
      <w:r>
        <w:rPr>
          <w:rFonts w:hint="eastAsia"/>
          <w:color w:val="000000"/>
          <w:szCs w:val="21"/>
        </w:rPr>
        <w:t xml:space="preserve">  悬臂构件：混凝土抗压强度应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pStyle w:val="3"/>
      </w:pPr>
      <w:bookmarkStart w:id="121" w:name="_Toc519609700"/>
      <w:bookmarkStart w:id="122" w:name="_Toc519687465"/>
      <w:bookmarkStart w:id="123" w:name="_Toc4737"/>
      <w:bookmarkStart w:id="124" w:name="_Toc519760519"/>
      <w:bookmarkStart w:id="125" w:name="_Toc519674694"/>
      <w:r>
        <w:rPr>
          <w:rFonts w:ascii="Times New Roman" w:hAnsi="Times New Roman"/>
        </w:rPr>
        <w:t xml:space="preserve">5.4  </w:t>
      </w:r>
      <w:r>
        <w:rPr>
          <w:rFonts w:hint="eastAsia"/>
        </w:rPr>
        <w:t>机械施工、起重吊装</w:t>
      </w:r>
      <w:bookmarkEnd w:id="121"/>
      <w:bookmarkEnd w:id="122"/>
      <w:bookmarkEnd w:id="123"/>
      <w:bookmarkEnd w:id="124"/>
      <w:bookmarkEnd w:id="125"/>
    </w:p>
    <w:p>
      <w:pPr>
        <w:tabs>
          <w:tab w:val="left" w:pos="360"/>
        </w:tabs>
        <w:snapToGrid w:val="0"/>
        <w:spacing w:line="400" w:lineRule="exact"/>
        <w:rPr>
          <w:szCs w:val="21"/>
        </w:rPr>
      </w:pPr>
      <w:r>
        <w:rPr>
          <w:rFonts w:hint="eastAsia"/>
          <w:b/>
          <w:szCs w:val="21"/>
        </w:rPr>
        <w:t>5</w:t>
      </w:r>
      <w:r>
        <w:rPr>
          <w:b/>
          <w:szCs w:val="21"/>
        </w:rPr>
        <w:t>.4.</w:t>
      </w:r>
      <w:r>
        <w:rPr>
          <w:rFonts w:hint="eastAsia"/>
          <w:b/>
          <w:szCs w:val="21"/>
        </w:rPr>
        <w:t>8</w:t>
      </w:r>
      <w:r>
        <w:rPr>
          <w:rFonts w:hint="eastAsia"/>
          <w:szCs w:val="21"/>
        </w:rPr>
        <w:t xml:space="preserve">  起重机械的安全保护装置主要包括：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塔式起重机安全保护装置包括：力矩限制器、起重量限制器、超高限位、变幅限位、钢丝绳防脱槽装置、吊钩防脱钩装置等；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门式起重机安全保护装置主要包括：大小车行走限位、起升高度限位、起升重量限制器、红外线防碰撞限位、钢丝绳防脱槽装置、吊钩防脱钩装置等；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施工升降机安全保护装置主要包括：起重量限制器、限位开关、极限开关、急停开关、安全钩等。</w:t>
      </w:r>
    </w:p>
    <w:p>
      <w:pPr>
        <w:tabs>
          <w:tab w:val="left" w:pos="360"/>
        </w:tabs>
        <w:snapToGrid w:val="0"/>
        <w:spacing w:line="400" w:lineRule="exact"/>
        <w:rPr>
          <w:rFonts w:hint="eastAsia"/>
          <w:szCs w:val="21"/>
        </w:rPr>
      </w:pPr>
      <w:r>
        <w:rPr>
          <w:rFonts w:hint="eastAsia"/>
          <w:b/>
          <w:szCs w:val="21"/>
        </w:rPr>
        <w:t>5</w:t>
      </w:r>
      <w:r>
        <w:rPr>
          <w:b/>
          <w:szCs w:val="21"/>
        </w:rPr>
        <w:t>.4.</w:t>
      </w:r>
      <w:r>
        <w:rPr>
          <w:rFonts w:hint="eastAsia"/>
          <w:b/>
          <w:szCs w:val="21"/>
        </w:rPr>
        <w:t>9</w:t>
      </w:r>
      <w:r>
        <w:rPr>
          <w:rFonts w:hint="eastAsia"/>
          <w:szCs w:val="21"/>
        </w:rPr>
        <w:t xml:space="preserve"> 起重机械结构连接包括塔式起重机塔身标准节之间的螺栓或销轴连接，施工升降机导轨架标准节之间的螺栓连接等。</w:t>
      </w:r>
    </w:p>
    <w:p>
      <w:pPr>
        <w:pStyle w:val="3"/>
      </w:pPr>
      <w:bookmarkStart w:id="126" w:name="_Toc519760520"/>
      <w:bookmarkStart w:id="127" w:name="_Toc519674695"/>
      <w:bookmarkStart w:id="128" w:name="_Toc519687466"/>
      <w:bookmarkStart w:id="129" w:name="_Toc31925"/>
      <w:bookmarkStart w:id="130" w:name="_Toc519609701"/>
      <w:r>
        <w:rPr>
          <w:rFonts w:ascii="Times New Roman" w:hAnsi="Times New Roman"/>
        </w:rPr>
        <w:t xml:space="preserve">5.6  </w:t>
      </w:r>
      <w:r>
        <w:rPr>
          <w:rFonts w:hint="eastAsia"/>
        </w:rPr>
        <w:t>临时用电</w:t>
      </w:r>
      <w:bookmarkEnd w:id="126"/>
      <w:bookmarkEnd w:id="127"/>
      <w:bookmarkEnd w:id="128"/>
      <w:bookmarkEnd w:id="129"/>
      <w:bookmarkEnd w:id="130"/>
    </w:p>
    <w:p>
      <w:pPr>
        <w:tabs>
          <w:tab w:val="left" w:pos="360"/>
        </w:tabs>
        <w:snapToGrid w:val="0"/>
        <w:spacing w:line="400" w:lineRule="exact"/>
        <w:rPr>
          <w:szCs w:val="21"/>
        </w:rPr>
      </w:pPr>
      <w:r>
        <w:rPr>
          <w:rFonts w:hint="eastAsia"/>
          <w:b/>
          <w:szCs w:val="21"/>
        </w:rPr>
        <w:t>5</w:t>
      </w:r>
      <w:r>
        <w:rPr>
          <w:b/>
          <w:szCs w:val="21"/>
        </w:rPr>
        <w:t>.</w:t>
      </w:r>
      <w:r>
        <w:rPr>
          <w:rFonts w:hint="eastAsia"/>
          <w:b/>
          <w:szCs w:val="21"/>
        </w:rPr>
        <w:t>6</w:t>
      </w:r>
      <w:r>
        <w:rPr>
          <w:b/>
          <w:szCs w:val="21"/>
        </w:rPr>
        <w:t>.4</w:t>
      </w:r>
      <w:r>
        <w:rPr>
          <w:rFonts w:hint="eastAsia"/>
          <w:szCs w:val="21"/>
        </w:rPr>
        <w:t xml:space="preserve">  </w:t>
      </w:r>
      <w:r>
        <w:rPr>
          <w:szCs w:val="21"/>
        </w:rPr>
        <w:t>下列特殊场所应使用安全特低电压照明器</w:t>
      </w:r>
    </w:p>
    <w:p>
      <w:pPr>
        <w:tabs>
          <w:tab w:val="left" w:pos="360"/>
        </w:tabs>
        <w:snapToGrid w:val="0"/>
        <w:spacing w:line="400" w:lineRule="exact"/>
        <w:ind w:firstLine="426" w:firstLineChars="202"/>
        <w:rPr>
          <w:szCs w:val="21"/>
        </w:rPr>
      </w:pPr>
      <w:r>
        <w:rPr>
          <w:b/>
          <w:szCs w:val="21"/>
        </w:rPr>
        <w:t>1</w:t>
      </w:r>
      <w:r>
        <w:rPr>
          <w:rFonts w:hint="eastAsia"/>
          <w:szCs w:val="21"/>
        </w:rPr>
        <w:t xml:space="preserve"> </w:t>
      </w:r>
      <w:r>
        <w:rPr>
          <w:szCs w:val="21"/>
        </w:rPr>
        <w:t xml:space="preserve"> 隧道、人防工程、高温、有导</w:t>
      </w:r>
      <w:r>
        <w:rPr>
          <w:rFonts w:hint="eastAsia"/>
          <w:szCs w:val="21"/>
        </w:rPr>
        <w:t>电</w:t>
      </w:r>
      <w:r>
        <w:rPr>
          <w:szCs w:val="21"/>
        </w:rPr>
        <w:t>灰尘，比较潮湿或灯具离地面高度低于2</w:t>
      </w:r>
      <w:r>
        <w:rPr>
          <w:rFonts w:hint="eastAsia"/>
          <w:szCs w:val="21"/>
        </w:rPr>
        <w:t>.</w:t>
      </w:r>
      <w:r>
        <w:rPr>
          <w:szCs w:val="21"/>
        </w:rPr>
        <w:t>5</w:t>
      </w:r>
      <w:r>
        <w:rPr>
          <w:rFonts w:hint="eastAsia"/>
          <w:szCs w:val="21"/>
          <w:lang w:eastAsia="zh-CN"/>
        </w:rPr>
        <w:t>m</w:t>
      </w:r>
      <w:r>
        <w:rPr>
          <w:szCs w:val="21"/>
        </w:rPr>
        <w:t>等场所的照明，电源电压不应大</w:t>
      </w:r>
      <w:r>
        <w:rPr>
          <w:rFonts w:hint="eastAsia"/>
          <w:szCs w:val="21"/>
        </w:rPr>
        <w:t>于</w:t>
      </w:r>
      <w:r>
        <w:rPr>
          <w:szCs w:val="21"/>
        </w:rPr>
        <w:t>36V；</w:t>
      </w:r>
    </w:p>
    <w:p>
      <w:pPr>
        <w:tabs>
          <w:tab w:val="left" w:pos="360"/>
        </w:tabs>
        <w:snapToGrid w:val="0"/>
        <w:spacing w:line="400" w:lineRule="exact"/>
        <w:ind w:firstLine="426" w:firstLineChars="202"/>
        <w:rPr>
          <w:szCs w:val="21"/>
        </w:rPr>
      </w:pPr>
      <w:r>
        <w:rPr>
          <w:b/>
          <w:szCs w:val="21"/>
        </w:rPr>
        <w:t>2</w:t>
      </w:r>
      <w:r>
        <w:rPr>
          <w:rFonts w:hint="eastAsia"/>
          <w:szCs w:val="21"/>
        </w:rPr>
        <w:t xml:space="preserve"> </w:t>
      </w:r>
      <w:r>
        <w:rPr>
          <w:szCs w:val="21"/>
        </w:rPr>
        <w:t xml:space="preserve"> 潮湿和易触及带电体场所的照明，电源电压不得大于24V；</w:t>
      </w:r>
    </w:p>
    <w:p>
      <w:pPr>
        <w:tabs>
          <w:tab w:val="left" w:pos="360"/>
        </w:tabs>
        <w:snapToGrid w:val="0"/>
        <w:spacing w:line="400" w:lineRule="exact"/>
        <w:ind w:firstLine="426" w:firstLineChars="202"/>
        <w:rPr>
          <w:szCs w:val="21"/>
        </w:rPr>
      </w:pPr>
      <w:r>
        <w:rPr>
          <w:b/>
          <w:szCs w:val="21"/>
        </w:rPr>
        <w:t>3</w:t>
      </w:r>
      <w:r>
        <w:rPr>
          <w:rFonts w:hint="eastAsia"/>
          <w:szCs w:val="21"/>
        </w:rPr>
        <w:t xml:space="preserve"> </w:t>
      </w:r>
      <w:r>
        <w:rPr>
          <w:szCs w:val="21"/>
        </w:rPr>
        <w:t xml:space="preserve"> 特别潮湿场所、导电良好的地面照明，电源电压不得大于12V</w:t>
      </w:r>
      <w:r>
        <w:rPr>
          <w:rFonts w:hint="eastAsia"/>
          <w:szCs w:val="21"/>
        </w:rPr>
        <w:t>。</w:t>
      </w:r>
    </w:p>
    <w:sectPr>
      <w:footerReference r:id="rId5" w:type="default"/>
      <w:pgSz w:w="11906" w:h="16838"/>
      <w:pgMar w:top="1440" w:right="1797" w:bottom="935"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DotumChe">
    <w:panose1 w:val="020B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jc w:val="right"/>
                          </w:pPr>
                          <w:r>
                            <w:fldChar w:fldCharType="begin"/>
                          </w:r>
                          <w:r>
                            <w:instrText xml:space="preserve"> PAGE   \* MERGEFORMAT </w:instrText>
                          </w:r>
                          <w:r>
                            <w:fldChar w:fldCharType="separate"/>
                          </w:r>
                          <w:r>
                            <w:rPr>
                              <w:lang w:val="zh-CN"/>
                            </w:rPr>
                            <w:t>1</w:t>
                          </w:r>
                          <w: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jZpl/FAQAAawMAAA4AAAAAAAAAAQAgAAAAHgEAAGRycy9lMm9Eb2MueG1s&#10;UEsFBgAAAAAGAAYAWQEAAFUFAAAAAA==&#10;">
              <v:fill on="f" focussize="0,0"/>
              <v:stroke on="f"/>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9F"/>
    <w:rsid w:val="000026A4"/>
    <w:rsid w:val="000029BF"/>
    <w:rsid w:val="0000306E"/>
    <w:rsid w:val="00003346"/>
    <w:rsid w:val="0000388B"/>
    <w:rsid w:val="00005418"/>
    <w:rsid w:val="00005695"/>
    <w:rsid w:val="00005C5C"/>
    <w:rsid w:val="000107AA"/>
    <w:rsid w:val="000110A6"/>
    <w:rsid w:val="00012341"/>
    <w:rsid w:val="00013D9F"/>
    <w:rsid w:val="00014653"/>
    <w:rsid w:val="00014922"/>
    <w:rsid w:val="00014C7A"/>
    <w:rsid w:val="00015284"/>
    <w:rsid w:val="0001656E"/>
    <w:rsid w:val="00016581"/>
    <w:rsid w:val="00016A30"/>
    <w:rsid w:val="000204A4"/>
    <w:rsid w:val="0002467B"/>
    <w:rsid w:val="0002467C"/>
    <w:rsid w:val="00025593"/>
    <w:rsid w:val="00025863"/>
    <w:rsid w:val="00026202"/>
    <w:rsid w:val="000277A4"/>
    <w:rsid w:val="00030F00"/>
    <w:rsid w:val="00030F97"/>
    <w:rsid w:val="00031078"/>
    <w:rsid w:val="000311B6"/>
    <w:rsid w:val="00031C12"/>
    <w:rsid w:val="00033B62"/>
    <w:rsid w:val="00033D60"/>
    <w:rsid w:val="000342B1"/>
    <w:rsid w:val="000361AA"/>
    <w:rsid w:val="00037BC4"/>
    <w:rsid w:val="0004023C"/>
    <w:rsid w:val="00040AD9"/>
    <w:rsid w:val="00040D75"/>
    <w:rsid w:val="00041205"/>
    <w:rsid w:val="0004218A"/>
    <w:rsid w:val="00043129"/>
    <w:rsid w:val="00043857"/>
    <w:rsid w:val="000455CB"/>
    <w:rsid w:val="0004657D"/>
    <w:rsid w:val="00047A4D"/>
    <w:rsid w:val="00047E54"/>
    <w:rsid w:val="0005064B"/>
    <w:rsid w:val="00051136"/>
    <w:rsid w:val="00051193"/>
    <w:rsid w:val="000538BC"/>
    <w:rsid w:val="00054F41"/>
    <w:rsid w:val="00055410"/>
    <w:rsid w:val="00055BFA"/>
    <w:rsid w:val="0005636D"/>
    <w:rsid w:val="00056928"/>
    <w:rsid w:val="00056F1D"/>
    <w:rsid w:val="00057595"/>
    <w:rsid w:val="00060A2F"/>
    <w:rsid w:val="0006109C"/>
    <w:rsid w:val="00061EC6"/>
    <w:rsid w:val="00066849"/>
    <w:rsid w:val="00066D11"/>
    <w:rsid w:val="0007049B"/>
    <w:rsid w:val="000704A7"/>
    <w:rsid w:val="00070AA2"/>
    <w:rsid w:val="00076034"/>
    <w:rsid w:val="0007676A"/>
    <w:rsid w:val="0007721D"/>
    <w:rsid w:val="00081A1D"/>
    <w:rsid w:val="00081ABE"/>
    <w:rsid w:val="000825CF"/>
    <w:rsid w:val="000832CB"/>
    <w:rsid w:val="00083713"/>
    <w:rsid w:val="00083961"/>
    <w:rsid w:val="00083DF5"/>
    <w:rsid w:val="00084DFF"/>
    <w:rsid w:val="00084F5E"/>
    <w:rsid w:val="000851EC"/>
    <w:rsid w:val="000854D0"/>
    <w:rsid w:val="00086BE2"/>
    <w:rsid w:val="00090B3E"/>
    <w:rsid w:val="0009452E"/>
    <w:rsid w:val="00094FB7"/>
    <w:rsid w:val="000968F6"/>
    <w:rsid w:val="00096C0E"/>
    <w:rsid w:val="0009760A"/>
    <w:rsid w:val="000A0959"/>
    <w:rsid w:val="000A203F"/>
    <w:rsid w:val="000A21A5"/>
    <w:rsid w:val="000A2EFB"/>
    <w:rsid w:val="000A3937"/>
    <w:rsid w:val="000A44A7"/>
    <w:rsid w:val="000A485F"/>
    <w:rsid w:val="000A4887"/>
    <w:rsid w:val="000A4BB0"/>
    <w:rsid w:val="000A507B"/>
    <w:rsid w:val="000A54F3"/>
    <w:rsid w:val="000A5C37"/>
    <w:rsid w:val="000A6813"/>
    <w:rsid w:val="000A7FDA"/>
    <w:rsid w:val="000B0891"/>
    <w:rsid w:val="000B1B6B"/>
    <w:rsid w:val="000B1D15"/>
    <w:rsid w:val="000B3139"/>
    <w:rsid w:val="000B3FAA"/>
    <w:rsid w:val="000B46DA"/>
    <w:rsid w:val="000C085A"/>
    <w:rsid w:val="000C136A"/>
    <w:rsid w:val="000C2692"/>
    <w:rsid w:val="000C2D59"/>
    <w:rsid w:val="000C38A8"/>
    <w:rsid w:val="000C3EBC"/>
    <w:rsid w:val="000C4775"/>
    <w:rsid w:val="000C67AE"/>
    <w:rsid w:val="000C67E5"/>
    <w:rsid w:val="000D0F51"/>
    <w:rsid w:val="000D0FB9"/>
    <w:rsid w:val="000D0FC5"/>
    <w:rsid w:val="000D2936"/>
    <w:rsid w:val="000D2B93"/>
    <w:rsid w:val="000D333B"/>
    <w:rsid w:val="000D3540"/>
    <w:rsid w:val="000D4BD8"/>
    <w:rsid w:val="000D56EC"/>
    <w:rsid w:val="000D60A2"/>
    <w:rsid w:val="000D74B3"/>
    <w:rsid w:val="000D7F65"/>
    <w:rsid w:val="000E078C"/>
    <w:rsid w:val="000E0D09"/>
    <w:rsid w:val="000E129E"/>
    <w:rsid w:val="000E1BF7"/>
    <w:rsid w:val="000E39D7"/>
    <w:rsid w:val="000E4D6C"/>
    <w:rsid w:val="000E519D"/>
    <w:rsid w:val="000E5222"/>
    <w:rsid w:val="000E544B"/>
    <w:rsid w:val="000E7150"/>
    <w:rsid w:val="000E71D5"/>
    <w:rsid w:val="000E75C1"/>
    <w:rsid w:val="000E7E55"/>
    <w:rsid w:val="000F01FF"/>
    <w:rsid w:val="000F057B"/>
    <w:rsid w:val="000F18FE"/>
    <w:rsid w:val="000F1F0B"/>
    <w:rsid w:val="000F2005"/>
    <w:rsid w:val="000F36A0"/>
    <w:rsid w:val="000F663A"/>
    <w:rsid w:val="000F6E24"/>
    <w:rsid w:val="000F73F6"/>
    <w:rsid w:val="00100117"/>
    <w:rsid w:val="00100945"/>
    <w:rsid w:val="001027D6"/>
    <w:rsid w:val="00103B9A"/>
    <w:rsid w:val="001057F1"/>
    <w:rsid w:val="00111275"/>
    <w:rsid w:val="00111BF4"/>
    <w:rsid w:val="00113866"/>
    <w:rsid w:val="00113DEC"/>
    <w:rsid w:val="00116134"/>
    <w:rsid w:val="0011637C"/>
    <w:rsid w:val="00116E75"/>
    <w:rsid w:val="00117BC0"/>
    <w:rsid w:val="00117C16"/>
    <w:rsid w:val="00117F12"/>
    <w:rsid w:val="00123776"/>
    <w:rsid w:val="001242B4"/>
    <w:rsid w:val="00125AFC"/>
    <w:rsid w:val="001301AE"/>
    <w:rsid w:val="001303E5"/>
    <w:rsid w:val="00131E33"/>
    <w:rsid w:val="00133062"/>
    <w:rsid w:val="00133193"/>
    <w:rsid w:val="00133BC6"/>
    <w:rsid w:val="00134C18"/>
    <w:rsid w:val="0013615C"/>
    <w:rsid w:val="00136841"/>
    <w:rsid w:val="00140622"/>
    <w:rsid w:val="00140C23"/>
    <w:rsid w:val="001419BC"/>
    <w:rsid w:val="00142AAE"/>
    <w:rsid w:val="001434A3"/>
    <w:rsid w:val="00143C09"/>
    <w:rsid w:val="001453BE"/>
    <w:rsid w:val="001501B1"/>
    <w:rsid w:val="00150A73"/>
    <w:rsid w:val="00151C66"/>
    <w:rsid w:val="00152B53"/>
    <w:rsid w:val="00156B7C"/>
    <w:rsid w:val="0015749A"/>
    <w:rsid w:val="001574AC"/>
    <w:rsid w:val="001575D4"/>
    <w:rsid w:val="00157938"/>
    <w:rsid w:val="00160640"/>
    <w:rsid w:val="00160714"/>
    <w:rsid w:val="00162494"/>
    <w:rsid w:val="00162B65"/>
    <w:rsid w:val="00163436"/>
    <w:rsid w:val="00164DD5"/>
    <w:rsid w:val="00165C6D"/>
    <w:rsid w:val="00165F4D"/>
    <w:rsid w:val="00166423"/>
    <w:rsid w:val="00166C10"/>
    <w:rsid w:val="00167BC6"/>
    <w:rsid w:val="00170514"/>
    <w:rsid w:val="00170B2B"/>
    <w:rsid w:val="001710D6"/>
    <w:rsid w:val="00171307"/>
    <w:rsid w:val="001719E5"/>
    <w:rsid w:val="0017512E"/>
    <w:rsid w:val="00176126"/>
    <w:rsid w:val="001764D3"/>
    <w:rsid w:val="0017696C"/>
    <w:rsid w:val="00181660"/>
    <w:rsid w:val="00181B2B"/>
    <w:rsid w:val="00184795"/>
    <w:rsid w:val="00184CAB"/>
    <w:rsid w:val="00185804"/>
    <w:rsid w:val="00185F85"/>
    <w:rsid w:val="0018626D"/>
    <w:rsid w:val="001863F2"/>
    <w:rsid w:val="00186B64"/>
    <w:rsid w:val="00186D69"/>
    <w:rsid w:val="00186FE5"/>
    <w:rsid w:val="00192230"/>
    <w:rsid w:val="001927F8"/>
    <w:rsid w:val="00192D50"/>
    <w:rsid w:val="00193554"/>
    <w:rsid w:val="001940F7"/>
    <w:rsid w:val="001946AA"/>
    <w:rsid w:val="001968EC"/>
    <w:rsid w:val="00196F55"/>
    <w:rsid w:val="00197661"/>
    <w:rsid w:val="001A0D9A"/>
    <w:rsid w:val="001A1422"/>
    <w:rsid w:val="001A1823"/>
    <w:rsid w:val="001A2284"/>
    <w:rsid w:val="001A313C"/>
    <w:rsid w:val="001A36C4"/>
    <w:rsid w:val="001A3C53"/>
    <w:rsid w:val="001A570B"/>
    <w:rsid w:val="001A577D"/>
    <w:rsid w:val="001A5B73"/>
    <w:rsid w:val="001A5F4F"/>
    <w:rsid w:val="001A7155"/>
    <w:rsid w:val="001A78D3"/>
    <w:rsid w:val="001B0281"/>
    <w:rsid w:val="001B1BD7"/>
    <w:rsid w:val="001B3FC2"/>
    <w:rsid w:val="001B44B5"/>
    <w:rsid w:val="001B4B32"/>
    <w:rsid w:val="001B4FDC"/>
    <w:rsid w:val="001B52C4"/>
    <w:rsid w:val="001B7203"/>
    <w:rsid w:val="001B7A2E"/>
    <w:rsid w:val="001C0BCE"/>
    <w:rsid w:val="001C0F4E"/>
    <w:rsid w:val="001C13C7"/>
    <w:rsid w:val="001C221E"/>
    <w:rsid w:val="001C2495"/>
    <w:rsid w:val="001C2C5C"/>
    <w:rsid w:val="001C3C77"/>
    <w:rsid w:val="001C3D7B"/>
    <w:rsid w:val="001C5799"/>
    <w:rsid w:val="001C5A14"/>
    <w:rsid w:val="001C6899"/>
    <w:rsid w:val="001C6920"/>
    <w:rsid w:val="001D015D"/>
    <w:rsid w:val="001D06A5"/>
    <w:rsid w:val="001D3CAF"/>
    <w:rsid w:val="001D3EFD"/>
    <w:rsid w:val="001D41A4"/>
    <w:rsid w:val="001D4838"/>
    <w:rsid w:val="001D49E1"/>
    <w:rsid w:val="001D557E"/>
    <w:rsid w:val="001D71AF"/>
    <w:rsid w:val="001E0277"/>
    <w:rsid w:val="001E14F7"/>
    <w:rsid w:val="001E1AA9"/>
    <w:rsid w:val="001E20A9"/>
    <w:rsid w:val="001E2C45"/>
    <w:rsid w:val="001E4CD6"/>
    <w:rsid w:val="001E5457"/>
    <w:rsid w:val="001E559B"/>
    <w:rsid w:val="001E6169"/>
    <w:rsid w:val="001E6E5D"/>
    <w:rsid w:val="001F0CB9"/>
    <w:rsid w:val="001F2208"/>
    <w:rsid w:val="001F2E2E"/>
    <w:rsid w:val="001F30F8"/>
    <w:rsid w:val="001F3C7B"/>
    <w:rsid w:val="001F3FDF"/>
    <w:rsid w:val="001F68D5"/>
    <w:rsid w:val="00200038"/>
    <w:rsid w:val="00200443"/>
    <w:rsid w:val="00200506"/>
    <w:rsid w:val="0020055B"/>
    <w:rsid w:val="00200742"/>
    <w:rsid w:val="00200C29"/>
    <w:rsid w:val="00203A5D"/>
    <w:rsid w:val="0020472A"/>
    <w:rsid w:val="00204CC9"/>
    <w:rsid w:val="00205089"/>
    <w:rsid w:val="00207469"/>
    <w:rsid w:val="002106CC"/>
    <w:rsid w:val="00211946"/>
    <w:rsid w:val="00211A1F"/>
    <w:rsid w:val="00212E64"/>
    <w:rsid w:val="002136C9"/>
    <w:rsid w:val="00213A62"/>
    <w:rsid w:val="00214EB9"/>
    <w:rsid w:val="00215A98"/>
    <w:rsid w:val="00217180"/>
    <w:rsid w:val="0021747A"/>
    <w:rsid w:val="002175BE"/>
    <w:rsid w:val="00217C71"/>
    <w:rsid w:val="002200EA"/>
    <w:rsid w:val="0022047A"/>
    <w:rsid w:val="00220CA2"/>
    <w:rsid w:val="0022239C"/>
    <w:rsid w:val="002225C6"/>
    <w:rsid w:val="00222B26"/>
    <w:rsid w:val="00222E02"/>
    <w:rsid w:val="00223F7B"/>
    <w:rsid w:val="002249E4"/>
    <w:rsid w:val="002255EE"/>
    <w:rsid w:val="00226379"/>
    <w:rsid w:val="002265AC"/>
    <w:rsid w:val="002323FC"/>
    <w:rsid w:val="0023271D"/>
    <w:rsid w:val="00232D3F"/>
    <w:rsid w:val="00233423"/>
    <w:rsid w:val="00233A0A"/>
    <w:rsid w:val="00234043"/>
    <w:rsid w:val="0023668A"/>
    <w:rsid w:val="00240A49"/>
    <w:rsid w:val="00240AC4"/>
    <w:rsid w:val="00241741"/>
    <w:rsid w:val="00241BDC"/>
    <w:rsid w:val="00241C75"/>
    <w:rsid w:val="002434D1"/>
    <w:rsid w:val="00243955"/>
    <w:rsid w:val="00243C9E"/>
    <w:rsid w:val="00243D65"/>
    <w:rsid w:val="00244EE4"/>
    <w:rsid w:val="002461B4"/>
    <w:rsid w:val="002472CC"/>
    <w:rsid w:val="0024732B"/>
    <w:rsid w:val="00247710"/>
    <w:rsid w:val="00250485"/>
    <w:rsid w:val="00251240"/>
    <w:rsid w:val="002515B4"/>
    <w:rsid w:val="00251741"/>
    <w:rsid w:val="0025185C"/>
    <w:rsid w:val="00251D30"/>
    <w:rsid w:val="00253952"/>
    <w:rsid w:val="00253AAC"/>
    <w:rsid w:val="00255B1F"/>
    <w:rsid w:val="00256312"/>
    <w:rsid w:val="002566BA"/>
    <w:rsid w:val="00260904"/>
    <w:rsid w:val="00261AA9"/>
    <w:rsid w:val="00261B46"/>
    <w:rsid w:val="00262BE7"/>
    <w:rsid w:val="00264959"/>
    <w:rsid w:val="00266768"/>
    <w:rsid w:val="00266CDB"/>
    <w:rsid w:val="00266D8A"/>
    <w:rsid w:val="00266E15"/>
    <w:rsid w:val="002672BD"/>
    <w:rsid w:val="002714D8"/>
    <w:rsid w:val="00271D2B"/>
    <w:rsid w:val="00272A87"/>
    <w:rsid w:val="00274C79"/>
    <w:rsid w:val="00276301"/>
    <w:rsid w:val="002767F1"/>
    <w:rsid w:val="00276D0D"/>
    <w:rsid w:val="00281CD5"/>
    <w:rsid w:val="002839CC"/>
    <w:rsid w:val="00283F55"/>
    <w:rsid w:val="00284B7B"/>
    <w:rsid w:val="00285435"/>
    <w:rsid w:val="00287F45"/>
    <w:rsid w:val="00290A1B"/>
    <w:rsid w:val="00292010"/>
    <w:rsid w:val="00292B3E"/>
    <w:rsid w:val="0029341B"/>
    <w:rsid w:val="00294588"/>
    <w:rsid w:val="00297100"/>
    <w:rsid w:val="002A1035"/>
    <w:rsid w:val="002A13BD"/>
    <w:rsid w:val="002A1F24"/>
    <w:rsid w:val="002A2112"/>
    <w:rsid w:val="002A27EC"/>
    <w:rsid w:val="002A4E86"/>
    <w:rsid w:val="002A72E6"/>
    <w:rsid w:val="002A7E8A"/>
    <w:rsid w:val="002B0780"/>
    <w:rsid w:val="002B2507"/>
    <w:rsid w:val="002B2557"/>
    <w:rsid w:val="002B2D6B"/>
    <w:rsid w:val="002B5A16"/>
    <w:rsid w:val="002C046C"/>
    <w:rsid w:val="002C185C"/>
    <w:rsid w:val="002C1F8C"/>
    <w:rsid w:val="002C337E"/>
    <w:rsid w:val="002C3BAB"/>
    <w:rsid w:val="002C63F2"/>
    <w:rsid w:val="002C643E"/>
    <w:rsid w:val="002C7AD7"/>
    <w:rsid w:val="002D1A1D"/>
    <w:rsid w:val="002D2A18"/>
    <w:rsid w:val="002D2E02"/>
    <w:rsid w:val="002D3D20"/>
    <w:rsid w:val="002D424B"/>
    <w:rsid w:val="002D50A5"/>
    <w:rsid w:val="002D5397"/>
    <w:rsid w:val="002D574A"/>
    <w:rsid w:val="002D59F3"/>
    <w:rsid w:val="002D66F1"/>
    <w:rsid w:val="002D7C1F"/>
    <w:rsid w:val="002E1C4C"/>
    <w:rsid w:val="002E277E"/>
    <w:rsid w:val="002E33E5"/>
    <w:rsid w:val="002E47A7"/>
    <w:rsid w:val="002E56E0"/>
    <w:rsid w:val="002E6686"/>
    <w:rsid w:val="002E773A"/>
    <w:rsid w:val="002F057E"/>
    <w:rsid w:val="002F06FF"/>
    <w:rsid w:val="002F11F2"/>
    <w:rsid w:val="002F167A"/>
    <w:rsid w:val="002F26AF"/>
    <w:rsid w:val="002F3397"/>
    <w:rsid w:val="002F3B52"/>
    <w:rsid w:val="002F3F2F"/>
    <w:rsid w:val="002F7844"/>
    <w:rsid w:val="002F7F43"/>
    <w:rsid w:val="00301E53"/>
    <w:rsid w:val="0030228E"/>
    <w:rsid w:val="00302886"/>
    <w:rsid w:val="00302A70"/>
    <w:rsid w:val="00303F70"/>
    <w:rsid w:val="0030553F"/>
    <w:rsid w:val="003058EE"/>
    <w:rsid w:val="00306B37"/>
    <w:rsid w:val="00306F85"/>
    <w:rsid w:val="003074CC"/>
    <w:rsid w:val="00310830"/>
    <w:rsid w:val="00310CDA"/>
    <w:rsid w:val="00311145"/>
    <w:rsid w:val="0031124C"/>
    <w:rsid w:val="003118E9"/>
    <w:rsid w:val="00311955"/>
    <w:rsid w:val="00312922"/>
    <w:rsid w:val="00312FC0"/>
    <w:rsid w:val="00313F35"/>
    <w:rsid w:val="003141A7"/>
    <w:rsid w:val="00314E1C"/>
    <w:rsid w:val="00315AAD"/>
    <w:rsid w:val="00315FFB"/>
    <w:rsid w:val="003163C0"/>
    <w:rsid w:val="003163EE"/>
    <w:rsid w:val="00316FCA"/>
    <w:rsid w:val="003178A5"/>
    <w:rsid w:val="00320447"/>
    <w:rsid w:val="00320D2D"/>
    <w:rsid w:val="00322149"/>
    <w:rsid w:val="00323312"/>
    <w:rsid w:val="00323EEB"/>
    <w:rsid w:val="00324815"/>
    <w:rsid w:val="00324B6D"/>
    <w:rsid w:val="003253DE"/>
    <w:rsid w:val="00326C66"/>
    <w:rsid w:val="00326FA5"/>
    <w:rsid w:val="00330CCB"/>
    <w:rsid w:val="00330FBB"/>
    <w:rsid w:val="0033308E"/>
    <w:rsid w:val="00335E05"/>
    <w:rsid w:val="003360DE"/>
    <w:rsid w:val="00336A82"/>
    <w:rsid w:val="00341850"/>
    <w:rsid w:val="00341883"/>
    <w:rsid w:val="00342290"/>
    <w:rsid w:val="00343B00"/>
    <w:rsid w:val="0034524B"/>
    <w:rsid w:val="00345266"/>
    <w:rsid w:val="00345EAF"/>
    <w:rsid w:val="00346204"/>
    <w:rsid w:val="00347D6E"/>
    <w:rsid w:val="003503CE"/>
    <w:rsid w:val="00350657"/>
    <w:rsid w:val="00350DA5"/>
    <w:rsid w:val="003531B9"/>
    <w:rsid w:val="0035334F"/>
    <w:rsid w:val="00353844"/>
    <w:rsid w:val="00353BC6"/>
    <w:rsid w:val="00354D07"/>
    <w:rsid w:val="00354EF4"/>
    <w:rsid w:val="0035509C"/>
    <w:rsid w:val="00355914"/>
    <w:rsid w:val="003564CF"/>
    <w:rsid w:val="003568D0"/>
    <w:rsid w:val="00356BE0"/>
    <w:rsid w:val="00357090"/>
    <w:rsid w:val="00360C1E"/>
    <w:rsid w:val="00360F9D"/>
    <w:rsid w:val="0036344B"/>
    <w:rsid w:val="00365AB1"/>
    <w:rsid w:val="003667C2"/>
    <w:rsid w:val="00366A6B"/>
    <w:rsid w:val="003676BE"/>
    <w:rsid w:val="003676EC"/>
    <w:rsid w:val="00367941"/>
    <w:rsid w:val="00367D28"/>
    <w:rsid w:val="003703AF"/>
    <w:rsid w:val="003703F6"/>
    <w:rsid w:val="00370423"/>
    <w:rsid w:val="003704F4"/>
    <w:rsid w:val="00370C32"/>
    <w:rsid w:val="0037141C"/>
    <w:rsid w:val="003714DF"/>
    <w:rsid w:val="00371595"/>
    <w:rsid w:val="003719DF"/>
    <w:rsid w:val="003726B1"/>
    <w:rsid w:val="003751CC"/>
    <w:rsid w:val="00375267"/>
    <w:rsid w:val="003754E2"/>
    <w:rsid w:val="00376E44"/>
    <w:rsid w:val="00377C71"/>
    <w:rsid w:val="00377CCD"/>
    <w:rsid w:val="00381CBA"/>
    <w:rsid w:val="00381CBC"/>
    <w:rsid w:val="00382CB9"/>
    <w:rsid w:val="003853BF"/>
    <w:rsid w:val="00386FD3"/>
    <w:rsid w:val="003870E3"/>
    <w:rsid w:val="00387781"/>
    <w:rsid w:val="00387BBC"/>
    <w:rsid w:val="00390512"/>
    <w:rsid w:val="0039292F"/>
    <w:rsid w:val="00393A82"/>
    <w:rsid w:val="00395FEE"/>
    <w:rsid w:val="00395FFF"/>
    <w:rsid w:val="00396F42"/>
    <w:rsid w:val="0039707E"/>
    <w:rsid w:val="003A0542"/>
    <w:rsid w:val="003A069F"/>
    <w:rsid w:val="003A0C09"/>
    <w:rsid w:val="003A1346"/>
    <w:rsid w:val="003A267B"/>
    <w:rsid w:val="003A28DE"/>
    <w:rsid w:val="003A4505"/>
    <w:rsid w:val="003A47B9"/>
    <w:rsid w:val="003A4FF8"/>
    <w:rsid w:val="003A66EC"/>
    <w:rsid w:val="003B0039"/>
    <w:rsid w:val="003B04C3"/>
    <w:rsid w:val="003B2608"/>
    <w:rsid w:val="003B2E21"/>
    <w:rsid w:val="003B3A52"/>
    <w:rsid w:val="003B4B5B"/>
    <w:rsid w:val="003B5138"/>
    <w:rsid w:val="003B6CE2"/>
    <w:rsid w:val="003B7D25"/>
    <w:rsid w:val="003C06F8"/>
    <w:rsid w:val="003C0CA7"/>
    <w:rsid w:val="003C22C0"/>
    <w:rsid w:val="003C42B4"/>
    <w:rsid w:val="003C5112"/>
    <w:rsid w:val="003C5E2B"/>
    <w:rsid w:val="003C7248"/>
    <w:rsid w:val="003C7623"/>
    <w:rsid w:val="003D07B2"/>
    <w:rsid w:val="003D3BE5"/>
    <w:rsid w:val="003D4D6F"/>
    <w:rsid w:val="003D4F1C"/>
    <w:rsid w:val="003D537B"/>
    <w:rsid w:val="003D6F48"/>
    <w:rsid w:val="003D73B7"/>
    <w:rsid w:val="003D799B"/>
    <w:rsid w:val="003E0A60"/>
    <w:rsid w:val="003E1359"/>
    <w:rsid w:val="003E1634"/>
    <w:rsid w:val="003E1AF9"/>
    <w:rsid w:val="003E21F0"/>
    <w:rsid w:val="003E32CC"/>
    <w:rsid w:val="003E3602"/>
    <w:rsid w:val="003E3980"/>
    <w:rsid w:val="003E4074"/>
    <w:rsid w:val="003E42AC"/>
    <w:rsid w:val="003E4AF7"/>
    <w:rsid w:val="003E5C24"/>
    <w:rsid w:val="003E6A26"/>
    <w:rsid w:val="003F2164"/>
    <w:rsid w:val="003F2AB1"/>
    <w:rsid w:val="003F4351"/>
    <w:rsid w:val="003F56B0"/>
    <w:rsid w:val="003F6ED3"/>
    <w:rsid w:val="003F768D"/>
    <w:rsid w:val="003F7D57"/>
    <w:rsid w:val="00401F9B"/>
    <w:rsid w:val="00403513"/>
    <w:rsid w:val="004041EB"/>
    <w:rsid w:val="00404EEA"/>
    <w:rsid w:val="00404F98"/>
    <w:rsid w:val="00405CCE"/>
    <w:rsid w:val="00406E34"/>
    <w:rsid w:val="00407241"/>
    <w:rsid w:val="004079C9"/>
    <w:rsid w:val="00410AF3"/>
    <w:rsid w:val="00411191"/>
    <w:rsid w:val="004116C2"/>
    <w:rsid w:val="00411DB2"/>
    <w:rsid w:val="00415084"/>
    <w:rsid w:val="00415682"/>
    <w:rsid w:val="0041619D"/>
    <w:rsid w:val="00416718"/>
    <w:rsid w:val="00416D20"/>
    <w:rsid w:val="00422638"/>
    <w:rsid w:val="00423D26"/>
    <w:rsid w:val="00424CD4"/>
    <w:rsid w:val="00425E53"/>
    <w:rsid w:val="004269C2"/>
    <w:rsid w:val="00426DD9"/>
    <w:rsid w:val="004314D9"/>
    <w:rsid w:val="00431B9B"/>
    <w:rsid w:val="004321B0"/>
    <w:rsid w:val="00432351"/>
    <w:rsid w:val="00434D8F"/>
    <w:rsid w:val="00434EC4"/>
    <w:rsid w:val="0043521D"/>
    <w:rsid w:val="00435802"/>
    <w:rsid w:val="00436332"/>
    <w:rsid w:val="004368EA"/>
    <w:rsid w:val="0043746C"/>
    <w:rsid w:val="00440DD3"/>
    <w:rsid w:val="00441319"/>
    <w:rsid w:val="00442318"/>
    <w:rsid w:val="00442822"/>
    <w:rsid w:val="004439C7"/>
    <w:rsid w:val="00445829"/>
    <w:rsid w:val="004473B1"/>
    <w:rsid w:val="0045143E"/>
    <w:rsid w:val="00452484"/>
    <w:rsid w:val="0045304F"/>
    <w:rsid w:val="0045417C"/>
    <w:rsid w:val="004552D0"/>
    <w:rsid w:val="00455DB5"/>
    <w:rsid w:val="00456825"/>
    <w:rsid w:val="00457670"/>
    <w:rsid w:val="004606BA"/>
    <w:rsid w:val="00462051"/>
    <w:rsid w:val="00463CDE"/>
    <w:rsid w:val="0046466E"/>
    <w:rsid w:val="004654D8"/>
    <w:rsid w:val="00465C1A"/>
    <w:rsid w:val="004663A2"/>
    <w:rsid w:val="004668BB"/>
    <w:rsid w:val="00466AF4"/>
    <w:rsid w:val="004678BD"/>
    <w:rsid w:val="0047012C"/>
    <w:rsid w:val="00470DD9"/>
    <w:rsid w:val="00470F66"/>
    <w:rsid w:val="0047126A"/>
    <w:rsid w:val="00471AC9"/>
    <w:rsid w:val="00473871"/>
    <w:rsid w:val="00473D6B"/>
    <w:rsid w:val="00473E7E"/>
    <w:rsid w:val="00473E88"/>
    <w:rsid w:val="00474B34"/>
    <w:rsid w:val="00475334"/>
    <w:rsid w:val="00475E0E"/>
    <w:rsid w:val="00475E60"/>
    <w:rsid w:val="004768D2"/>
    <w:rsid w:val="00477A72"/>
    <w:rsid w:val="0048061E"/>
    <w:rsid w:val="00481CDB"/>
    <w:rsid w:val="00482820"/>
    <w:rsid w:val="004837A7"/>
    <w:rsid w:val="004837D3"/>
    <w:rsid w:val="00484558"/>
    <w:rsid w:val="00486972"/>
    <w:rsid w:val="00487649"/>
    <w:rsid w:val="0049184F"/>
    <w:rsid w:val="00491F76"/>
    <w:rsid w:val="00496448"/>
    <w:rsid w:val="00497484"/>
    <w:rsid w:val="004974BB"/>
    <w:rsid w:val="00497784"/>
    <w:rsid w:val="00497EC5"/>
    <w:rsid w:val="004A06DF"/>
    <w:rsid w:val="004A3A59"/>
    <w:rsid w:val="004A6676"/>
    <w:rsid w:val="004A6E60"/>
    <w:rsid w:val="004A7048"/>
    <w:rsid w:val="004A7100"/>
    <w:rsid w:val="004A728C"/>
    <w:rsid w:val="004A7E6B"/>
    <w:rsid w:val="004A7F19"/>
    <w:rsid w:val="004B05C0"/>
    <w:rsid w:val="004B0ACF"/>
    <w:rsid w:val="004B1367"/>
    <w:rsid w:val="004B2216"/>
    <w:rsid w:val="004B27A3"/>
    <w:rsid w:val="004B2DE8"/>
    <w:rsid w:val="004B3F9B"/>
    <w:rsid w:val="004B4110"/>
    <w:rsid w:val="004B4986"/>
    <w:rsid w:val="004B498A"/>
    <w:rsid w:val="004B5199"/>
    <w:rsid w:val="004B6C6B"/>
    <w:rsid w:val="004B740A"/>
    <w:rsid w:val="004C10FB"/>
    <w:rsid w:val="004C1744"/>
    <w:rsid w:val="004C23F8"/>
    <w:rsid w:val="004C2C2E"/>
    <w:rsid w:val="004C6153"/>
    <w:rsid w:val="004C6D06"/>
    <w:rsid w:val="004C712D"/>
    <w:rsid w:val="004C77D0"/>
    <w:rsid w:val="004D007E"/>
    <w:rsid w:val="004D0183"/>
    <w:rsid w:val="004D2027"/>
    <w:rsid w:val="004D4109"/>
    <w:rsid w:val="004D4AB2"/>
    <w:rsid w:val="004D558B"/>
    <w:rsid w:val="004D5B35"/>
    <w:rsid w:val="004D6051"/>
    <w:rsid w:val="004E000D"/>
    <w:rsid w:val="004E15FF"/>
    <w:rsid w:val="004E2CB7"/>
    <w:rsid w:val="004E3716"/>
    <w:rsid w:val="004E4540"/>
    <w:rsid w:val="004E4AE3"/>
    <w:rsid w:val="004E4C46"/>
    <w:rsid w:val="004E4DBC"/>
    <w:rsid w:val="004E6A51"/>
    <w:rsid w:val="004E737D"/>
    <w:rsid w:val="004F0682"/>
    <w:rsid w:val="004F0722"/>
    <w:rsid w:val="004F0B3B"/>
    <w:rsid w:val="004F1055"/>
    <w:rsid w:val="004F232E"/>
    <w:rsid w:val="004F29A1"/>
    <w:rsid w:val="004F6D9E"/>
    <w:rsid w:val="004F6E18"/>
    <w:rsid w:val="004F7A86"/>
    <w:rsid w:val="004F7C8C"/>
    <w:rsid w:val="00500232"/>
    <w:rsid w:val="005009D3"/>
    <w:rsid w:val="00500C1C"/>
    <w:rsid w:val="00500FF7"/>
    <w:rsid w:val="005014D6"/>
    <w:rsid w:val="005016ED"/>
    <w:rsid w:val="00501B76"/>
    <w:rsid w:val="00502514"/>
    <w:rsid w:val="00502665"/>
    <w:rsid w:val="005028B4"/>
    <w:rsid w:val="0050419C"/>
    <w:rsid w:val="00504BEF"/>
    <w:rsid w:val="005059DA"/>
    <w:rsid w:val="005069A6"/>
    <w:rsid w:val="00506D84"/>
    <w:rsid w:val="0050740B"/>
    <w:rsid w:val="00510537"/>
    <w:rsid w:val="00511290"/>
    <w:rsid w:val="00511356"/>
    <w:rsid w:val="00512637"/>
    <w:rsid w:val="00512639"/>
    <w:rsid w:val="00515175"/>
    <w:rsid w:val="00520374"/>
    <w:rsid w:val="00520394"/>
    <w:rsid w:val="0052241C"/>
    <w:rsid w:val="005234D5"/>
    <w:rsid w:val="00523978"/>
    <w:rsid w:val="00524AC7"/>
    <w:rsid w:val="005254A1"/>
    <w:rsid w:val="005274DE"/>
    <w:rsid w:val="005278B9"/>
    <w:rsid w:val="00531272"/>
    <w:rsid w:val="005326FE"/>
    <w:rsid w:val="0053360E"/>
    <w:rsid w:val="00533C8C"/>
    <w:rsid w:val="00533DEF"/>
    <w:rsid w:val="005355DA"/>
    <w:rsid w:val="005357B7"/>
    <w:rsid w:val="00536C2B"/>
    <w:rsid w:val="00536C5A"/>
    <w:rsid w:val="005408B0"/>
    <w:rsid w:val="00540AE9"/>
    <w:rsid w:val="0054109A"/>
    <w:rsid w:val="0054145B"/>
    <w:rsid w:val="00541AF2"/>
    <w:rsid w:val="00542D8B"/>
    <w:rsid w:val="00543F1F"/>
    <w:rsid w:val="005440A4"/>
    <w:rsid w:val="00544C02"/>
    <w:rsid w:val="00544FA3"/>
    <w:rsid w:val="00546803"/>
    <w:rsid w:val="00546EC8"/>
    <w:rsid w:val="005473EB"/>
    <w:rsid w:val="00547629"/>
    <w:rsid w:val="00547635"/>
    <w:rsid w:val="005477F2"/>
    <w:rsid w:val="00547FE3"/>
    <w:rsid w:val="00550114"/>
    <w:rsid w:val="00550E1B"/>
    <w:rsid w:val="00551B59"/>
    <w:rsid w:val="005520D4"/>
    <w:rsid w:val="00552DB7"/>
    <w:rsid w:val="0055328A"/>
    <w:rsid w:val="00553E7F"/>
    <w:rsid w:val="0055422A"/>
    <w:rsid w:val="00554C10"/>
    <w:rsid w:val="005567C7"/>
    <w:rsid w:val="00557214"/>
    <w:rsid w:val="0056076A"/>
    <w:rsid w:val="0056171D"/>
    <w:rsid w:val="005623B5"/>
    <w:rsid w:val="0056251D"/>
    <w:rsid w:val="00564EF6"/>
    <w:rsid w:val="005665BD"/>
    <w:rsid w:val="0056660A"/>
    <w:rsid w:val="005670DF"/>
    <w:rsid w:val="00567DB2"/>
    <w:rsid w:val="00567FFC"/>
    <w:rsid w:val="00570176"/>
    <w:rsid w:val="0057134C"/>
    <w:rsid w:val="005720A3"/>
    <w:rsid w:val="00572DBA"/>
    <w:rsid w:val="00573603"/>
    <w:rsid w:val="005737C5"/>
    <w:rsid w:val="00574192"/>
    <w:rsid w:val="00574AA1"/>
    <w:rsid w:val="00574F9A"/>
    <w:rsid w:val="005757EB"/>
    <w:rsid w:val="0057608E"/>
    <w:rsid w:val="005761B9"/>
    <w:rsid w:val="005763CC"/>
    <w:rsid w:val="00577C27"/>
    <w:rsid w:val="00577D8C"/>
    <w:rsid w:val="00577F57"/>
    <w:rsid w:val="00580151"/>
    <w:rsid w:val="005805A3"/>
    <w:rsid w:val="0058092F"/>
    <w:rsid w:val="00580EA3"/>
    <w:rsid w:val="0058106A"/>
    <w:rsid w:val="00582575"/>
    <w:rsid w:val="0058397D"/>
    <w:rsid w:val="005901C8"/>
    <w:rsid w:val="00592503"/>
    <w:rsid w:val="005935A3"/>
    <w:rsid w:val="005947DB"/>
    <w:rsid w:val="00595198"/>
    <w:rsid w:val="00595541"/>
    <w:rsid w:val="00595938"/>
    <w:rsid w:val="005A32FE"/>
    <w:rsid w:val="005A3AE2"/>
    <w:rsid w:val="005A497D"/>
    <w:rsid w:val="005B3547"/>
    <w:rsid w:val="005B3A11"/>
    <w:rsid w:val="005B43C7"/>
    <w:rsid w:val="005B46D3"/>
    <w:rsid w:val="005B5066"/>
    <w:rsid w:val="005B5D68"/>
    <w:rsid w:val="005B61C4"/>
    <w:rsid w:val="005C1F62"/>
    <w:rsid w:val="005C2B1C"/>
    <w:rsid w:val="005C3CCB"/>
    <w:rsid w:val="005C420C"/>
    <w:rsid w:val="005C5340"/>
    <w:rsid w:val="005C5E0C"/>
    <w:rsid w:val="005C63CC"/>
    <w:rsid w:val="005C6CC8"/>
    <w:rsid w:val="005C7373"/>
    <w:rsid w:val="005C7D68"/>
    <w:rsid w:val="005D0500"/>
    <w:rsid w:val="005D057A"/>
    <w:rsid w:val="005D2316"/>
    <w:rsid w:val="005D4971"/>
    <w:rsid w:val="005D63DF"/>
    <w:rsid w:val="005D674B"/>
    <w:rsid w:val="005D68D6"/>
    <w:rsid w:val="005D7DE0"/>
    <w:rsid w:val="005E0512"/>
    <w:rsid w:val="005E1740"/>
    <w:rsid w:val="005E18C2"/>
    <w:rsid w:val="005E201D"/>
    <w:rsid w:val="005E24DD"/>
    <w:rsid w:val="005E29E4"/>
    <w:rsid w:val="005E7EBB"/>
    <w:rsid w:val="005F02AB"/>
    <w:rsid w:val="005F0492"/>
    <w:rsid w:val="005F2DA5"/>
    <w:rsid w:val="005F44CE"/>
    <w:rsid w:val="005F63DD"/>
    <w:rsid w:val="005F6A4B"/>
    <w:rsid w:val="005F6ADF"/>
    <w:rsid w:val="005F6E3F"/>
    <w:rsid w:val="005F7DDC"/>
    <w:rsid w:val="006001A1"/>
    <w:rsid w:val="0060075F"/>
    <w:rsid w:val="00600D19"/>
    <w:rsid w:val="00601B71"/>
    <w:rsid w:val="00602109"/>
    <w:rsid w:val="0060246D"/>
    <w:rsid w:val="00603C47"/>
    <w:rsid w:val="00603F01"/>
    <w:rsid w:val="00604783"/>
    <w:rsid w:val="00604A0B"/>
    <w:rsid w:val="00604B11"/>
    <w:rsid w:val="00607C7A"/>
    <w:rsid w:val="00610348"/>
    <w:rsid w:val="0061234D"/>
    <w:rsid w:val="006125A0"/>
    <w:rsid w:val="00612878"/>
    <w:rsid w:val="006135AD"/>
    <w:rsid w:val="00613C46"/>
    <w:rsid w:val="00614997"/>
    <w:rsid w:val="00616130"/>
    <w:rsid w:val="0061670D"/>
    <w:rsid w:val="00616FE0"/>
    <w:rsid w:val="00620022"/>
    <w:rsid w:val="00621F7F"/>
    <w:rsid w:val="00622695"/>
    <w:rsid w:val="00622CC9"/>
    <w:rsid w:val="0062300D"/>
    <w:rsid w:val="00623400"/>
    <w:rsid w:val="00623700"/>
    <w:rsid w:val="00625111"/>
    <w:rsid w:val="006253CF"/>
    <w:rsid w:val="006261FE"/>
    <w:rsid w:val="00626D6F"/>
    <w:rsid w:val="006271F3"/>
    <w:rsid w:val="0063180F"/>
    <w:rsid w:val="00632137"/>
    <w:rsid w:val="00632F73"/>
    <w:rsid w:val="0063478A"/>
    <w:rsid w:val="00634BCE"/>
    <w:rsid w:val="00634D16"/>
    <w:rsid w:val="00635F01"/>
    <w:rsid w:val="006364C7"/>
    <w:rsid w:val="006374B2"/>
    <w:rsid w:val="00637AAE"/>
    <w:rsid w:val="0064131B"/>
    <w:rsid w:val="00642E20"/>
    <w:rsid w:val="00643077"/>
    <w:rsid w:val="006444C7"/>
    <w:rsid w:val="0064475A"/>
    <w:rsid w:val="00644E24"/>
    <w:rsid w:val="00646CF9"/>
    <w:rsid w:val="00650D65"/>
    <w:rsid w:val="00651DC3"/>
    <w:rsid w:val="00653E10"/>
    <w:rsid w:val="0065469E"/>
    <w:rsid w:val="00654C3F"/>
    <w:rsid w:val="00656DDC"/>
    <w:rsid w:val="0065726D"/>
    <w:rsid w:val="0065755F"/>
    <w:rsid w:val="00660CD4"/>
    <w:rsid w:val="006647E3"/>
    <w:rsid w:val="00664BDB"/>
    <w:rsid w:val="006655F2"/>
    <w:rsid w:val="00665E2C"/>
    <w:rsid w:val="00666630"/>
    <w:rsid w:val="0066778C"/>
    <w:rsid w:val="006677DA"/>
    <w:rsid w:val="00670824"/>
    <w:rsid w:val="0067109C"/>
    <w:rsid w:val="006711C5"/>
    <w:rsid w:val="00671236"/>
    <w:rsid w:val="006737E2"/>
    <w:rsid w:val="006739E7"/>
    <w:rsid w:val="00674E7D"/>
    <w:rsid w:val="00675063"/>
    <w:rsid w:val="006756E9"/>
    <w:rsid w:val="006759A8"/>
    <w:rsid w:val="0067728F"/>
    <w:rsid w:val="00680C52"/>
    <w:rsid w:val="00682A91"/>
    <w:rsid w:val="0068303D"/>
    <w:rsid w:val="00683CF1"/>
    <w:rsid w:val="006842AB"/>
    <w:rsid w:val="006869A1"/>
    <w:rsid w:val="006873C7"/>
    <w:rsid w:val="00687D38"/>
    <w:rsid w:val="00690B5A"/>
    <w:rsid w:val="00693BE3"/>
    <w:rsid w:val="006943C4"/>
    <w:rsid w:val="006943E5"/>
    <w:rsid w:val="006954F6"/>
    <w:rsid w:val="006959B8"/>
    <w:rsid w:val="00695B81"/>
    <w:rsid w:val="00696E20"/>
    <w:rsid w:val="006A0D0F"/>
    <w:rsid w:val="006A15EA"/>
    <w:rsid w:val="006A2C8D"/>
    <w:rsid w:val="006A35F6"/>
    <w:rsid w:val="006A4316"/>
    <w:rsid w:val="006A4B75"/>
    <w:rsid w:val="006A5B2F"/>
    <w:rsid w:val="006A612E"/>
    <w:rsid w:val="006A616C"/>
    <w:rsid w:val="006A710A"/>
    <w:rsid w:val="006B4B2D"/>
    <w:rsid w:val="006B60DC"/>
    <w:rsid w:val="006B7FAA"/>
    <w:rsid w:val="006C1716"/>
    <w:rsid w:val="006C1E40"/>
    <w:rsid w:val="006C39A4"/>
    <w:rsid w:val="006C3CF5"/>
    <w:rsid w:val="006C3EA8"/>
    <w:rsid w:val="006C3F4A"/>
    <w:rsid w:val="006C54BE"/>
    <w:rsid w:val="006C6013"/>
    <w:rsid w:val="006C76E0"/>
    <w:rsid w:val="006D1565"/>
    <w:rsid w:val="006D16D5"/>
    <w:rsid w:val="006D17AC"/>
    <w:rsid w:val="006D2070"/>
    <w:rsid w:val="006D29BE"/>
    <w:rsid w:val="006D2CFC"/>
    <w:rsid w:val="006D44E3"/>
    <w:rsid w:val="006D4FD8"/>
    <w:rsid w:val="006D4FEE"/>
    <w:rsid w:val="006D5622"/>
    <w:rsid w:val="006D6582"/>
    <w:rsid w:val="006D72FE"/>
    <w:rsid w:val="006D78BE"/>
    <w:rsid w:val="006E1B0E"/>
    <w:rsid w:val="006E1DFF"/>
    <w:rsid w:val="006E2892"/>
    <w:rsid w:val="006E33D1"/>
    <w:rsid w:val="006E46DE"/>
    <w:rsid w:val="006E57D3"/>
    <w:rsid w:val="006E591F"/>
    <w:rsid w:val="006E75B1"/>
    <w:rsid w:val="006E7954"/>
    <w:rsid w:val="006F0FFE"/>
    <w:rsid w:val="006F14BF"/>
    <w:rsid w:val="006F250E"/>
    <w:rsid w:val="006F329A"/>
    <w:rsid w:val="006F34D8"/>
    <w:rsid w:val="006F3E1A"/>
    <w:rsid w:val="006F4F0B"/>
    <w:rsid w:val="006F5A84"/>
    <w:rsid w:val="006F5B4D"/>
    <w:rsid w:val="00703065"/>
    <w:rsid w:val="00703BD4"/>
    <w:rsid w:val="00703E72"/>
    <w:rsid w:val="00706C30"/>
    <w:rsid w:val="007100D5"/>
    <w:rsid w:val="007105FB"/>
    <w:rsid w:val="00713443"/>
    <w:rsid w:val="007136A7"/>
    <w:rsid w:val="00713BB7"/>
    <w:rsid w:val="00713FB2"/>
    <w:rsid w:val="007156EA"/>
    <w:rsid w:val="007162E3"/>
    <w:rsid w:val="00716798"/>
    <w:rsid w:val="0071795A"/>
    <w:rsid w:val="00720105"/>
    <w:rsid w:val="00720AC6"/>
    <w:rsid w:val="00720B9C"/>
    <w:rsid w:val="007213B1"/>
    <w:rsid w:val="00721598"/>
    <w:rsid w:val="007249F5"/>
    <w:rsid w:val="00724D16"/>
    <w:rsid w:val="00726534"/>
    <w:rsid w:val="00730476"/>
    <w:rsid w:val="00730FE6"/>
    <w:rsid w:val="007311F1"/>
    <w:rsid w:val="0073154F"/>
    <w:rsid w:val="007319DA"/>
    <w:rsid w:val="00734788"/>
    <w:rsid w:val="0073541A"/>
    <w:rsid w:val="00735625"/>
    <w:rsid w:val="00735BF9"/>
    <w:rsid w:val="00736A35"/>
    <w:rsid w:val="00736E3D"/>
    <w:rsid w:val="00737027"/>
    <w:rsid w:val="0073714B"/>
    <w:rsid w:val="0074127D"/>
    <w:rsid w:val="0074132F"/>
    <w:rsid w:val="00741B99"/>
    <w:rsid w:val="00741EA8"/>
    <w:rsid w:val="00742A13"/>
    <w:rsid w:val="00742CBF"/>
    <w:rsid w:val="007434FD"/>
    <w:rsid w:val="00743552"/>
    <w:rsid w:val="00743C14"/>
    <w:rsid w:val="00744939"/>
    <w:rsid w:val="00744F45"/>
    <w:rsid w:val="00746A8A"/>
    <w:rsid w:val="00747065"/>
    <w:rsid w:val="0074798B"/>
    <w:rsid w:val="00750192"/>
    <w:rsid w:val="00751612"/>
    <w:rsid w:val="0075388D"/>
    <w:rsid w:val="00753C7A"/>
    <w:rsid w:val="007547A8"/>
    <w:rsid w:val="00754BAB"/>
    <w:rsid w:val="0075525E"/>
    <w:rsid w:val="00756980"/>
    <w:rsid w:val="00756DBA"/>
    <w:rsid w:val="00757E54"/>
    <w:rsid w:val="00760991"/>
    <w:rsid w:val="007611AE"/>
    <w:rsid w:val="007625AA"/>
    <w:rsid w:val="0076312B"/>
    <w:rsid w:val="00764F33"/>
    <w:rsid w:val="00765DBA"/>
    <w:rsid w:val="0076604F"/>
    <w:rsid w:val="007663BD"/>
    <w:rsid w:val="007671B3"/>
    <w:rsid w:val="00767A47"/>
    <w:rsid w:val="00767B81"/>
    <w:rsid w:val="00767F2D"/>
    <w:rsid w:val="00770029"/>
    <w:rsid w:val="007702FD"/>
    <w:rsid w:val="007708E8"/>
    <w:rsid w:val="007716CC"/>
    <w:rsid w:val="00771BB8"/>
    <w:rsid w:val="00772DDE"/>
    <w:rsid w:val="00773B7C"/>
    <w:rsid w:val="00775AFB"/>
    <w:rsid w:val="00780156"/>
    <w:rsid w:val="00781895"/>
    <w:rsid w:val="0078351D"/>
    <w:rsid w:val="0078445A"/>
    <w:rsid w:val="007853E3"/>
    <w:rsid w:val="00785EB9"/>
    <w:rsid w:val="00786CF4"/>
    <w:rsid w:val="00787E8E"/>
    <w:rsid w:val="00790C90"/>
    <w:rsid w:val="0079139E"/>
    <w:rsid w:val="007916B0"/>
    <w:rsid w:val="007921EF"/>
    <w:rsid w:val="00792D61"/>
    <w:rsid w:val="00793523"/>
    <w:rsid w:val="007943E3"/>
    <w:rsid w:val="00794DE5"/>
    <w:rsid w:val="00795321"/>
    <w:rsid w:val="00795A56"/>
    <w:rsid w:val="0079675A"/>
    <w:rsid w:val="00796982"/>
    <w:rsid w:val="00796B24"/>
    <w:rsid w:val="007A0878"/>
    <w:rsid w:val="007A0A5D"/>
    <w:rsid w:val="007A1011"/>
    <w:rsid w:val="007A39E8"/>
    <w:rsid w:val="007A5AC0"/>
    <w:rsid w:val="007A5F8D"/>
    <w:rsid w:val="007A6B6C"/>
    <w:rsid w:val="007A7C01"/>
    <w:rsid w:val="007A7F83"/>
    <w:rsid w:val="007B0BE8"/>
    <w:rsid w:val="007B2064"/>
    <w:rsid w:val="007B26EF"/>
    <w:rsid w:val="007B3AD9"/>
    <w:rsid w:val="007B4C79"/>
    <w:rsid w:val="007B529C"/>
    <w:rsid w:val="007B564F"/>
    <w:rsid w:val="007B57ED"/>
    <w:rsid w:val="007B5E1A"/>
    <w:rsid w:val="007B603F"/>
    <w:rsid w:val="007B76BE"/>
    <w:rsid w:val="007C1F5F"/>
    <w:rsid w:val="007C212E"/>
    <w:rsid w:val="007C26CF"/>
    <w:rsid w:val="007C5D06"/>
    <w:rsid w:val="007C5FA8"/>
    <w:rsid w:val="007D1C25"/>
    <w:rsid w:val="007D1D8C"/>
    <w:rsid w:val="007D3947"/>
    <w:rsid w:val="007D3D56"/>
    <w:rsid w:val="007D521E"/>
    <w:rsid w:val="007D6E68"/>
    <w:rsid w:val="007D78C2"/>
    <w:rsid w:val="007D7B9D"/>
    <w:rsid w:val="007E0220"/>
    <w:rsid w:val="007E182E"/>
    <w:rsid w:val="007E192D"/>
    <w:rsid w:val="007E1C6B"/>
    <w:rsid w:val="007E263E"/>
    <w:rsid w:val="007E2961"/>
    <w:rsid w:val="007E34DF"/>
    <w:rsid w:val="007E45ED"/>
    <w:rsid w:val="007E4811"/>
    <w:rsid w:val="007E4B29"/>
    <w:rsid w:val="007E5A6E"/>
    <w:rsid w:val="007E6C43"/>
    <w:rsid w:val="007E6E9A"/>
    <w:rsid w:val="007E74F8"/>
    <w:rsid w:val="007E7F18"/>
    <w:rsid w:val="007F0E92"/>
    <w:rsid w:val="007F1175"/>
    <w:rsid w:val="007F21A5"/>
    <w:rsid w:val="007F272F"/>
    <w:rsid w:val="007F2898"/>
    <w:rsid w:val="007F452C"/>
    <w:rsid w:val="007F5510"/>
    <w:rsid w:val="007F629B"/>
    <w:rsid w:val="007F63B2"/>
    <w:rsid w:val="007F64D9"/>
    <w:rsid w:val="0080047F"/>
    <w:rsid w:val="008006EB"/>
    <w:rsid w:val="008018E7"/>
    <w:rsid w:val="008040D5"/>
    <w:rsid w:val="008042B9"/>
    <w:rsid w:val="008046A5"/>
    <w:rsid w:val="00804BE8"/>
    <w:rsid w:val="00806243"/>
    <w:rsid w:val="00806887"/>
    <w:rsid w:val="00806DBC"/>
    <w:rsid w:val="00807511"/>
    <w:rsid w:val="008104B6"/>
    <w:rsid w:val="008109A5"/>
    <w:rsid w:val="00810EE7"/>
    <w:rsid w:val="00812C7E"/>
    <w:rsid w:val="008139EA"/>
    <w:rsid w:val="0081706C"/>
    <w:rsid w:val="00821D83"/>
    <w:rsid w:val="008222C0"/>
    <w:rsid w:val="0082241D"/>
    <w:rsid w:val="00822F44"/>
    <w:rsid w:val="0082353A"/>
    <w:rsid w:val="00824775"/>
    <w:rsid w:val="00825C2C"/>
    <w:rsid w:val="008269FA"/>
    <w:rsid w:val="00827C88"/>
    <w:rsid w:val="00831675"/>
    <w:rsid w:val="00834688"/>
    <w:rsid w:val="00834ABA"/>
    <w:rsid w:val="00834FB1"/>
    <w:rsid w:val="008407FA"/>
    <w:rsid w:val="00841033"/>
    <w:rsid w:val="0084136C"/>
    <w:rsid w:val="00841CFF"/>
    <w:rsid w:val="00842B09"/>
    <w:rsid w:val="00842B51"/>
    <w:rsid w:val="008431B7"/>
    <w:rsid w:val="00843B5B"/>
    <w:rsid w:val="00844741"/>
    <w:rsid w:val="00845459"/>
    <w:rsid w:val="00845E48"/>
    <w:rsid w:val="00846056"/>
    <w:rsid w:val="008464AB"/>
    <w:rsid w:val="008468D5"/>
    <w:rsid w:val="00846DF3"/>
    <w:rsid w:val="00850879"/>
    <w:rsid w:val="00850CE1"/>
    <w:rsid w:val="00851214"/>
    <w:rsid w:val="00852559"/>
    <w:rsid w:val="00853C17"/>
    <w:rsid w:val="0085501C"/>
    <w:rsid w:val="0085532D"/>
    <w:rsid w:val="00856248"/>
    <w:rsid w:val="00857B64"/>
    <w:rsid w:val="00860355"/>
    <w:rsid w:val="00861547"/>
    <w:rsid w:val="0086468D"/>
    <w:rsid w:val="0086630E"/>
    <w:rsid w:val="00870A10"/>
    <w:rsid w:val="00870DBB"/>
    <w:rsid w:val="00870F08"/>
    <w:rsid w:val="00870FB6"/>
    <w:rsid w:val="00871E36"/>
    <w:rsid w:val="00871F6F"/>
    <w:rsid w:val="00872548"/>
    <w:rsid w:val="00872EA8"/>
    <w:rsid w:val="00872F3A"/>
    <w:rsid w:val="00873204"/>
    <w:rsid w:val="008748FE"/>
    <w:rsid w:val="0087707E"/>
    <w:rsid w:val="008779C8"/>
    <w:rsid w:val="008808B1"/>
    <w:rsid w:val="0088277D"/>
    <w:rsid w:val="00882FFA"/>
    <w:rsid w:val="0088332A"/>
    <w:rsid w:val="00884494"/>
    <w:rsid w:val="0088520B"/>
    <w:rsid w:val="00885236"/>
    <w:rsid w:val="008867CF"/>
    <w:rsid w:val="008876F3"/>
    <w:rsid w:val="0088790B"/>
    <w:rsid w:val="00890A3F"/>
    <w:rsid w:val="008931DF"/>
    <w:rsid w:val="008938E2"/>
    <w:rsid w:val="00893C45"/>
    <w:rsid w:val="008963A2"/>
    <w:rsid w:val="00896B92"/>
    <w:rsid w:val="00897888"/>
    <w:rsid w:val="008A2F44"/>
    <w:rsid w:val="008A399C"/>
    <w:rsid w:val="008A474E"/>
    <w:rsid w:val="008A4A18"/>
    <w:rsid w:val="008A5467"/>
    <w:rsid w:val="008A6A81"/>
    <w:rsid w:val="008B0143"/>
    <w:rsid w:val="008B07F5"/>
    <w:rsid w:val="008B0F34"/>
    <w:rsid w:val="008B1EA1"/>
    <w:rsid w:val="008B2220"/>
    <w:rsid w:val="008B3250"/>
    <w:rsid w:val="008B4B48"/>
    <w:rsid w:val="008B67E8"/>
    <w:rsid w:val="008B6842"/>
    <w:rsid w:val="008B6DB7"/>
    <w:rsid w:val="008B6F8C"/>
    <w:rsid w:val="008C0C27"/>
    <w:rsid w:val="008C20FC"/>
    <w:rsid w:val="008C2C86"/>
    <w:rsid w:val="008C3139"/>
    <w:rsid w:val="008C35C3"/>
    <w:rsid w:val="008C3D50"/>
    <w:rsid w:val="008C4BEB"/>
    <w:rsid w:val="008C5A1F"/>
    <w:rsid w:val="008C601C"/>
    <w:rsid w:val="008D0118"/>
    <w:rsid w:val="008D062E"/>
    <w:rsid w:val="008D0BFA"/>
    <w:rsid w:val="008D2D18"/>
    <w:rsid w:val="008D3251"/>
    <w:rsid w:val="008D32D6"/>
    <w:rsid w:val="008D3BAF"/>
    <w:rsid w:val="008D45FF"/>
    <w:rsid w:val="008D4BB7"/>
    <w:rsid w:val="008D5859"/>
    <w:rsid w:val="008D5CF3"/>
    <w:rsid w:val="008D5E2F"/>
    <w:rsid w:val="008D6930"/>
    <w:rsid w:val="008D6C7A"/>
    <w:rsid w:val="008E2908"/>
    <w:rsid w:val="008E2FA0"/>
    <w:rsid w:val="008E3203"/>
    <w:rsid w:val="008E41ED"/>
    <w:rsid w:val="008E6BB1"/>
    <w:rsid w:val="008E7D9B"/>
    <w:rsid w:val="008F01E3"/>
    <w:rsid w:val="008F2A2B"/>
    <w:rsid w:val="008F2F04"/>
    <w:rsid w:val="008F30BC"/>
    <w:rsid w:val="008F440A"/>
    <w:rsid w:val="00900AFD"/>
    <w:rsid w:val="009010BB"/>
    <w:rsid w:val="0090196D"/>
    <w:rsid w:val="009021E3"/>
    <w:rsid w:val="00903580"/>
    <w:rsid w:val="0090518C"/>
    <w:rsid w:val="00905E58"/>
    <w:rsid w:val="009061B8"/>
    <w:rsid w:val="00907209"/>
    <w:rsid w:val="00910EDF"/>
    <w:rsid w:val="009116BF"/>
    <w:rsid w:val="009116F3"/>
    <w:rsid w:val="00912C9F"/>
    <w:rsid w:val="00914836"/>
    <w:rsid w:val="00914B02"/>
    <w:rsid w:val="009165B1"/>
    <w:rsid w:val="00917FF5"/>
    <w:rsid w:val="00920A04"/>
    <w:rsid w:val="00920A5B"/>
    <w:rsid w:val="00921597"/>
    <w:rsid w:val="00922B9E"/>
    <w:rsid w:val="00922D1E"/>
    <w:rsid w:val="00923C07"/>
    <w:rsid w:val="009249DC"/>
    <w:rsid w:val="00925A27"/>
    <w:rsid w:val="00925F6F"/>
    <w:rsid w:val="00927111"/>
    <w:rsid w:val="00932025"/>
    <w:rsid w:val="00932B22"/>
    <w:rsid w:val="00932DA5"/>
    <w:rsid w:val="00935A0F"/>
    <w:rsid w:val="009366B1"/>
    <w:rsid w:val="009406C5"/>
    <w:rsid w:val="00940F36"/>
    <w:rsid w:val="00941318"/>
    <w:rsid w:val="00941B72"/>
    <w:rsid w:val="00942371"/>
    <w:rsid w:val="00942A39"/>
    <w:rsid w:val="00942A43"/>
    <w:rsid w:val="009436D1"/>
    <w:rsid w:val="009453F0"/>
    <w:rsid w:val="00945F33"/>
    <w:rsid w:val="0094777C"/>
    <w:rsid w:val="009511EA"/>
    <w:rsid w:val="00951C1E"/>
    <w:rsid w:val="00952D80"/>
    <w:rsid w:val="009542B9"/>
    <w:rsid w:val="009566B9"/>
    <w:rsid w:val="00960393"/>
    <w:rsid w:val="00960977"/>
    <w:rsid w:val="00960CFE"/>
    <w:rsid w:val="00961409"/>
    <w:rsid w:val="00961E0B"/>
    <w:rsid w:val="00962949"/>
    <w:rsid w:val="00962F23"/>
    <w:rsid w:val="00965150"/>
    <w:rsid w:val="00966848"/>
    <w:rsid w:val="00967668"/>
    <w:rsid w:val="00970D3D"/>
    <w:rsid w:val="0097110C"/>
    <w:rsid w:val="00971C6F"/>
    <w:rsid w:val="00972588"/>
    <w:rsid w:val="009725FA"/>
    <w:rsid w:val="00974954"/>
    <w:rsid w:val="009753F9"/>
    <w:rsid w:val="00975618"/>
    <w:rsid w:val="009757C8"/>
    <w:rsid w:val="0097584A"/>
    <w:rsid w:val="009763DE"/>
    <w:rsid w:val="00977775"/>
    <w:rsid w:val="00981B87"/>
    <w:rsid w:val="009820F3"/>
    <w:rsid w:val="00982FF2"/>
    <w:rsid w:val="00984F51"/>
    <w:rsid w:val="00986BD5"/>
    <w:rsid w:val="00990B67"/>
    <w:rsid w:val="00991C6D"/>
    <w:rsid w:val="00991E14"/>
    <w:rsid w:val="00992DAD"/>
    <w:rsid w:val="009934E5"/>
    <w:rsid w:val="00993B3C"/>
    <w:rsid w:val="00996030"/>
    <w:rsid w:val="009969D1"/>
    <w:rsid w:val="00996A03"/>
    <w:rsid w:val="00997B95"/>
    <w:rsid w:val="009A117E"/>
    <w:rsid w:val="009A1933"/>
    <w:rsid w:val="009A2242"/>
    <w:rsid w:val="009A281E"/>
    <w:rsid w:val="009A2988"/>
    <w:rsid w:val="009A3969"/>
    <w:rsid w:val="009A5147"/>
    <w:rsid w:val="009A5239"/>
    <w:rsid w:val="009A5BFA"/>
    <w:rsid w:val="009A5DFB"/>
    <w:rsid w:val="009A6D9F"/>
    <w:rsid w:val="009A72D5"/>
    <w:rsid w:val="009A7A1C"/>
    <w:rsid w:val="009A7BC6"/>
    <w:rsid w:val="009B09D9"/>
    <w:rsid w:val="009B0F41"/>
    <w:rsid w:val="009B17A5"/>
    <w:rsid w:val="009B191A"/>
    <w:rsid w:val="009B1BC5"/>
    <w:rsid w:val="009B2E5F"/>
    <w:rsid w:val="009B3315"/>
    <w:rsid w:val="009B4F46"/>
    <w:rsid w:val="009B58E1"/>
    <w:rsid w:val="009B7496"/>
    <w:rsid w:val="009B7B84"/>
    <w:rsid w:val="009C083E"/>
    <w:rsid w:val="009C09A9"/>
    <w:rsid w:val="009C0B07"/>
    <w:rsid w:val="009C1B97"/>
    <w:rsid w:val="009C2A52"/>
    <w:rsid w:val="009C5A0D"/>
    <w:rsid w:val="009C5A5C"/>
    <w:rsid w:val="009C6163"/>
    <w:rsid w:val="009C68FB"/>
    <w:rsid w:val="009C6C15"/>
    <w:rsid w:val="009C7973"/>
    <w:rsid w:val="009D169C"/>
    <w:rsid w:val="009D2A10"/>
    <w:rsid w:val="009D5707"/>
    <w:rsid w:val="009D62CF"/>
    <w:rsid w:val="009D6B10"/>
    <w:rsid w:val="009D7373"/>
    <w:rsid w:val="009D7403"/>
    <w:rsid w:val="009D777C"/>
    <w:rsid w:val="009E0409"/>
    <w:rsid w:val="009E0661"/>
    <w:rsid w:val="009E0D06"/>
    <w:rsid w:val="009E1752"/>
    <w:rsid w:val="009E35DE"/>
    <w:rsid w:val="009E3B47"/>
    <w:rsid w:val="009E405C"/>
    <w:rsid w:val="009E480C"/>
    <w:rsid w:val="009E4F6F"/>
    <w:rsid w:val="009E5FA3"/>
    <w:rsid w:val="009E61CB"/>
    <w:rsid w:val="009F05D9"/>
    <w:rsid w:val="009F17CE"/>
    <w:rsid w:val="009F2913"/>
    <w:rsid w:val="009F29B0"/>
    <w:rsid w:val="009F3186"/>
    <w:rsid w:val="009F319F"/>
    <w:rsid w:val="009F4294"/>
    <w:rsid w:val="009F53E0"/>
    <w:rsid w:val="009F6495"/>
    <w:rsid w:val="009F721B"/>
    <w:rsid w:val="00A006CF"/>
    <w:rsid w:val="00A007E9"/>
    <w:rsid w:val="00A017ED"/>
    <w:rsid w:val="00A01BB5"/>
    <w:rsid w:val="00A01CBF"/>
    <w:rsid w:val="00A02C8A"/>
    <w:rsid w:val="00A02DDB"/>
    <w:rsid w:val="00A0361C"/>
    <w:rsid w:val="00A036D1"/>
    <w:rsid w:val="00A03FEE"/>
    <w:rsid w:val="00A048E9"/>
    <w:rsid w:val="00A05530"/>
    <w:rsid w:val="00A058E5"/>
    <w:rsid w:val="00A06AF5"/>
    <w:rsid w:val="00A0702C"/>
    <w:rsid w:val="00A07556"/>
    <w:rsid w:val="00A10C94"/>
    <w:rsid w:val="00A120D6"/>
    <w:rsid w:val="00A12582"/>
    <w:rsid w:val="00A12592"/>
    <w:rsid w:val="00A13F94"/>
    <w:rsid w:val="00A17997"/>
    <w:rsid w:val="00A2013C"/>
    <w:rsid w:val="00A222F6"/>
    <w:rsid w:val="00A22B75"/>
    <w:rsid w:val="00A22BCF"/>
    <w:rsid w:val="00A2374E"/>
    <w:rsid w:val="00A23E99"/>
    <w:rsid w:val="00A24306"/>
    <w:rsid w:val="00A24B3A"/>
    <w:rsid w:val="00A25066"/>
    <w:rsid w:val="00A25E25"/>
    <w:rsid w:val="00A26592"/>
    <w:rsid w:val="00A2695A"/>
    <w:rsid w:val="00A2776B"/>
    <w:rsid w:val="00A27C03"/>
    <w:rsid w:val="00A30A84"/>
    <w:rsid w:val="00A30EEE"/>
    <w:rsid w:val="00A31133"/>
    <w:rsid w:val="00A313B4"/>
    <w:rsid w:val="00A313D0"/>
    <w:rsid w:val="00A31864"/>
    <w:rsid w:val="00A31A20"/>
    <w:rsid w:val="00A327F3"/>
    <w:rsid w:val="00A32830"/>
    <w:rsid w:val="00A32AAF"/>
    <w:rsid w:val="00A33D3A"/>
    <w:rsid w:val="00A3455D"/>
    <w:rsid w:val="00A34794"/>
    <w:rsid w:val="00A353A4"/>
    <w:rsid w:val="00A3571A"/>
    <w:rsid w:val="00A35CBD"/>
    <w:rsid w:val="00A35FA2"/>
    <w:rsid w:val="00A36117"/>
    <w:rsid w:val="00A37424"/>
    <w:rsid w:val="00A37B07"/>
    <w:rsid w:val="00A40703"/>
    <w:rsid w:val="00A4224E"/>
    <w:rsid w:val="00A422DE"/>
    <w:rsid w:val="00A43211"/>
    <w:rsid w:val="00A45878"/>
    <w:rsid w:val="00A45880"/>
    <w:rsid w:val="00A4612B"/>
    <w:rsid w:val="00A4640B"/>
    <w:rsid w:val="00A472E7"/>
    <w:rsid w:val="00A47D30"/>
    <w:rsid w:val="00A5002D"/>
    <w:rsid w:val="00A508EE"/>
    <w:rsid w:val="00A50A1B"/>
    <w:rsid w:val="00A50FD8"/>
    <w:rsid w:val="00A52FE3"/>
    <w:rsid w:val="00A5401F"/>
    <w:rsid w:val="00A54F76"/>
    <w:rsid w:val="00A55017"/>
    <w:rsid w:val="00A56864"/>
    <w:rsid w:val="00A57037"/>
    <w:rsid w:val="00A57C66"/>
    <w:rsid w:val="00A60E69"/>
    <w:rsid w:val="00A6192A"/>
    <w:rsid w:val="00A628B7"/>
    <w:rsid w:val="00A6292E"/>
    <w:rsid w:val="00A63277"/>
    <w:rsid w:val="00A63443"/>
    <w:rsid w:val="00A667C8"/>
    <w:rsid w:val="00A677BA"/>
    <w:rsid w:val="00A70DEB"/>
    <w:rsid w:val="00A71451"/>
    <w:rsid w:val="00A715F9"/>
    <w:rsid w:val="00A735CB"/>
    <w:rsid w:val="00A735D4"/>
    <w:rsid w:val="00A74E14"/>
    <w:rsid w:val="00A76CB3"/>
    <w:rsid w:val="00A7796F"/>
    <w:rsid w:val="00A77DF2"/>
    <w:rsid w:val="00A77F81"/>
    <w:rsid w:val="00A80263"/>
    <w:rsid w:val="00A82A31"/>
    <w:rsid w:val="00A83694"/>
    <w:rsid w:val="00A83812"/>
    <w:rsid w:val="00A85D5F"/>
    <w:rsid w:val="00A85EA9"/>
    <w:rsid w:val="00A87A0D"/>
    <w:rsid w:val="00A9087D"/>
    <w:rsid w:val="00A915B5"/>
    <w:rsid w:val="00A93403"/>
    <w:rsid w:val="00A93F10"/>
    <w:rsid w:val="00A93FBE"/>
    <w:rsid w:val="00A94EDE"/>
    <w:rsid w:val="00A966C9"/>
    <w:rsid w:val="00A972EC"/>
    <w:rsid w:val="00A97AA2"/>
    <w:rsid w:val="00AA03CA"/>
    <w:rsid w:val="00AA1DCA"/>
    <w:rsid w:val="00AA2A13"/>
    <w:rsid w:val="00AA3AFC"/>
    <w:rsid w:val="00AA40A2"/>
    <w:rsid w:val="00AA4DC3"/>
    <w:rsid w:val="00AA5685"/>
    <w:rsid w:val="00AA6D03"/>
    <w:rsid w:val="00AA7353"/>
    <w:rsid w:val="00AA738E"/>
    <w:rsid w:val="00AA77C1"/>
    <w:rsid w:val="00AB0CF1"/>
    <w:rsid w:val="00AB1111"/>
    <w:rsid w:val="00AB114E"/>
    <w:rsid w:val="00AB1645"/>
    <w:rsid w:val="00AB2764"/>
    <w:rsid w:val="00AB2B0A"/>
    <w:rsid w:val="00AB37DF"/>
    <w:rsid w:val="00AB383B"/>
    <w:rsid w:val="00AB6002"/>
    <w:rsid w:val="00AB67C4"/>
    <w:rsid w:val="00AB67C7"/>
    <w:rsid w:val="00AB6C7D"/>
    <w:rsid w:val="00AC053A"/>
    <w:rsid w:val="00AC09DA"/>
    <w:rsid w:val="00AC109D"/>
    <w:rsid w:val="00AC135B"/>
    <w:rsid w:val="00AC1D70"/>
    <w:rsid w:val="00AC2BD2"/>
    <w:rsid w:val="00AC30BD"/>
    <w:rsid w:val="00AC36BC"/>
    <w:rsid w:val="00AC3A9B"/>
    <w:rsid w:val="00AC4447"/>
    <w:rsid w:val="00AC5CDE"/>
    <w:rsid w:val="00AC6558"/>
    <w:rsid w:val="00AC764B"/>
    <w:rsid w:val="00AC7E4B"/>
    <w:rsid w:val="00AD0C4F"/>
    <w:rsid w:val="00AD0DFA"/>
    <w:rsid w:val="00AD380D"/>
    <w:rsid w:val="00AD6F93"/>
    <w:rsid w:val="00AE0D79"/>
    <w:rsid w:val="00AE115F"/>
    <w:rsid w:val="00AE1364"/>
    <w:rsid w:val="00AE1803"/>
    <w:rsid w:val="00AE18A2"/>
    <w:rsid w:val="00AE2005"/>
    <w:rsid w:val="00AE2414"/>
    <w:rsid w:val="00AE4AA2"/>
    <w:rsid w:val="00AE5C42"/>
    <w:rsid w:val="00AE76FD"/>
    <w:rsid w:val="00AF04E7"/>
    <w:rsid w:val="00AF2A2E"/>
    <w:rsid w:val="00AF351D"/>
    <w:rsid w:val="00AF692C"/>
    <w:rsid w:val="00AF6CC5"/>
    <w:rsid w:val="00AF6F9C"/>
    <w:rsid w:val="00B009FC"/>
    <w:rsid w:val="00B00AED"/>
    <w:rsid w:val="00B01505"/>
    <w:rsid w:val="00B01613"/>
    <w:rsid w:val="00B01899"/>
    <w:rsid w:val="00B02949"/>
    <w:rsid w:val="00B0420B"/>
    <w:rsid w:val="00B06BA2"/>
    <w:rsid w:val="00B079C4"/>
    <w:rsid w:val="00B1021E"/>
    <w:rsid w:val="00B11153"/>
    <w:rsid w:val="00B11E8B"/>
    <w:rsid w:val="00B121E8"/>
    <w:rsid w:val="00B12A78"/>
    <w:rsid w:val="00B142CB"/>
    <w:rsid w:val="00B159B6"/>
    <w:rsid w:val="00B165E8"/>
    <w:rsid w:val="00B16926"/>
    <w:rsid w:val="00B17718"/>
    <w:rsid w:val="00B21998"/>
    <w:rsid w:val="00B21C48"/>
    <w:rsid w:val="00B239CB"/>
    <w:rsid w:val="00B240FF"/>
    <w:rsid w:val="00B2412B"/>
    <w:rsid w:val="00B245CE"/>
    <w:rsid w:val="00B246BE"/>
    <w:rsid w:val="00B25BBF"/>
    <w:rsid w:val="00B278AD"/>
    <w:rsid w:val="00B27EFF"/>
    <w:rsid w:val="00B3001A"/>
    <w:rsid w:val="00B304C3"/>
    <w:rsid w:val="00B31613"/>
    <w:rsid w:val="00B31CC3"/>
    <w:rsid w:val="00B32276"/>
    <w:rsid w:val="00B34C2F"/>
    <w:rsid w:val="00B3524A"/>
    <w:rsid w:val="00B37319"/>
    <w:rsid w:val="00B37DB6"/>
    <w:rsid w:val="00B404BC"/>
    <w:rsid w:val="00B413D8"/>
    <w:rsid w:val="00B42144"/>
    <w:rsid w:val="00B422DA"/>
    <w:rsid w:val="00B42746"/>
    <w:rsid w:val="00B43A06"/>
    <w:rsid w:val="00B44183"/>
    <w:rsid w:val="00B44675"/>
    <w:rsid w:val="00B457CE"/>
    <w:rsid w:val="00B47832"/>
    <w:rsid w:val="00B516F3"/>
    <w:rsid w:val="00B51F31"/>
    <w:rsid w:val="00B532D0"/>
    <w:rsid w:val="00B53520"/>
    <w:rsid w:val="00B5368D"/>
    <w:rsid w:val="00B5378E"/>
    <w:rsid w:val="00B541C8"/>
    <w:rsid w:val="00B54A41"/>
    <w:rsid w:val="00B54C5A"/>
    <w:rsid w:val="00B54D3F"/>
    <w:rsid w:val="00B54EDA"/>
    <w:rsid w:val="00B54FAC"/>
    <w:rsid w:val="00B5645E"/>
    <w:rsid w:val="00B572D3"/>
    <w:rsid w:val="00B57A0B"/>
    <w:rsid w:val="00B60108"/>
    <w:rsid w:val="00B6069E"/>
    <w:rsid w:val="00B607BF"/>
    <w:rsid w:val="00B61CBB"/>
    <w:rsid w:val="00B62FE7"/>
    <w:rsid w:val="00B633FC"/>
    <w:rsid w:val="00B644EE"/>
    <w:rsid w:val="00B650BA"/>
    <w:rsid w:val="00B65B1B"/>
    <w:rsid w:val="00B6657D"/>
    <w:rsid w:val="00B6777B"/>
    <w:rsid w:val="00B67DBA"/>
    <w:rsid w:val="00B7101A"/>
    <w:rsid w:val="00B71083"/>
    <w:rsid w:val="00B755C1"/>
    <w:rsid w:val="00B758EC"/>
    <w:rsid w:val="00B759B8"/>
    <w:rsid w:val="00B759CF"/>
    <w:rsid w:val="00B77554"/>
    <w:rsid w:val="00B77D2B"/>
    <w:rsid w:val="00B81548"/>
    <w:rsid w:val="00B82F93"/>
    <w:rsid w:val="00B8362A"/>
    <w:rsid w:val="00B8421E"/>
    <w:rsid w:val="00B860C5"/>
    <w:rsid w:val="00B86B56"/>
    <w:rsid w:val="00B871E6"/>
    <w:rsid w:val="00B87210"/>
    <w:rsid w:val="00B90A65"/>
    <w:rsid w:val="00B914FB"/>
    <w:rsid w:val="00B92237"/>
    <w:rsid w:val="00B92599"/>
    <w:rsid w:val="00B93019"/>
    <w:rsid w:val="00B93196"/>
    <w:rsid w:val="00B938C6"/>
    <w:rsid w:val="00B94990"/>
    <w:rsid w:val="00B96FFA"/>
    <w:rsid w:val="00B97199"/>
    <w:rsid w:val="00BA023F"/>
    <w:rsid w:val="00BA0CA4"/>
    <w:rsid w:val="00BA10A3"/>
    <w:rsid w:val="00BA1B41"/>
    <w:rsid w:val="00BA2485"/>
    <w:rsid w:val="00BA2D21"/>
    <w:rsid w:val="00BA4D5B"/>
    <w:rsid w:val="00BA622D"/>
    <w:rsid w:val="00BA7071"/>
    <w:rsid w:val="00BB039C"/>
    <w:rsid w:val="00BB03B5"/>
    <w:rsid w:val="00BB13D2"/>
    <w:rsid w:val="00BB1EC3"/>
    <w:rsid w:val="00BB2468"/>
    <w:rsid w:val="00BB258F"/>
    <w:rsid w:val="00BB337F"/>
    <w:rsid w:val="00BB3513"/>
    <w:rsid w:val="00BB416C"/>
    <w:rsid w:val="00BB596F"/>
    <w:rsid w:val="00BB69FD"/>
    <w:rsid w:val="00BB6BB6"/>
    <w:rsid w:val="00BB7C26"/>
    <w:rsid w:val="00BC0255"/>
    <w:rsid w:val="00BC1B3B"/>
    <w:rsid w:val="00BC2A1A"/>
    <w:rsid w:val="00BC3AC7"/>
    <w:rsid w:val="00BC3E8D"/>
    <w:rsid w:val="00BC4625"/>
    <w:rsid w:val="00BC58B7"/>
    <w:rsid w:val="00BC59A3"/>
    <w:rsid w:val="00BC6C34"/>
    <w:rsid w:val="00BC798C"/>
    <w:rsid w:val="00BC7BCA"/>
    <w:rsid w:val="00BD06B7"/>
    <w:rsid w:val="00BD2467"/>
    <w:rsid w:val="00BD2D73"/>
    <w:rsid w:val="00BD2F95"/>
    <w:rsid w:val="00BD43C5"/>
    <w:rsid w:val="00BD4687"/>
    <w:rsid w:val="00BD5C21"/>
    <w:rsid w:val="00BD5EED"/>
    <w:rsid w:val="00BD5FC8"/>
    <w:rsid w:val="00BE0655"/>
    <w:rsid w:val="00BE3872"/>
    <w:rsid w:val="00BE397C"/>
    <w:rsid w:val="00BE41FB"/>
    <w:rsid w:val="00BE43AE"/>
    <w:rsid w:val="00BE54CC"/>
    <w:rsid w:val="00BE5695"/>
    <w:rsid w:val="00BE58B1"/>
    <w:rsid w:val="00BE5C42"/>
    <w:rsid w:val="00BE74D5"/>
    <w:rsid w:val="00BF0219"/>
    <w:rsid w:val="00BF047A"/>
    <w:rsid w:val="00BF1BBD"/>
    <w:rsid w:val="00BF200E"/>
    <w:rsid w:val="00BF22AB"/>
    <w:rsid w:val="00BF38AE"/>
    <w:rsid w:val="00BF3913"/>
    <w:rsid w:val="00BF47EB"/>
    <w:rsid w:val="00BF4F62"/>
    <w:rsid w:val="00BF4FC1"/>
    <w:rsid w:val="00BF5D87"/>
    <w:rsid w:val="00BF62B4"/>
    <w:rsid w:val="00BF6453"/>
    <w:rsid w:val="00BF6E5D"/>
    <w:rsid w:val="00C000F6"/>
    <w:rsid w:val="00C002C1"/>
    <w:rsid w:val="00C01248"/>
    <w:rsid w:val="00C01C8F"/>
    <w:rsid w:val="00C02518"/>
    <w:rsid w:val="00C03A15"/>
    <w:rsid w:val="00C04ACD"/>
    <w:rsid w:val="00C04CF6"/>
    <w:rsid w:val="00C05867"/>
    <w:rsid w:val="00C06526"/>
    <w:rsid w:val="00C069A5"/>
    <w:rsid w:val="00C073D7"/>
    <w:rsid w:val="00C106F6"/>
    <w:rsid w:val="00C10AB6"/>
    <w:rsid w:val="00C11133"/>
    <w:rsid w:val="00C1164B"/>
    <w:rsid w:val="00C117BA"/>
    <w:rsid w:val="00C1239C"/>
    <w:rsid w:val="00C15AEB"/>
    <w:rsid w:val="00C17130"/>
    <w:rsid w:val="00C17924"/>
    <w:rsid w:val="00C17A3D"/>
    <w:rsid w:val="00C200AE"/>
    <w:rsid w:val="00C228D2"/>
    <w:rsid w:val="00C232C2"/>
    <w:rsid w:val="00C23879"/>
    <w:rsid w:val="00C25C9F"/>
    <w:rsid w:val="00C267ED"/>
    <w:rsid w:val="00C27C9C"/>
    <w:rsid w:val="00C31FC0"/>
    <w:rsid w:val="00C32B5E"/>
    <w:rsid w:val="00C34723"/>
    <w:rsid w:val="00C34FB2"/>
    <w:rsid w:val="00C358F7"/>
    <w:rsid w:val="00C35C15"/>
    <w:rsid w:val="00C36613"/>
    <w:rsid w:val="00C4047A"/>
    <w:rsid w:val="00C413EB"/>
    <w:rsid w:val="00C41A78"/>
    <w:rsid w:val="00C422C5"/>
    <w:rsid w:val="00C43489"/>
    <w:rsid w:val="00C436B2"/>
    <w:rsid w:val="00C4548C"/>
    <w:rsid w:val="00C45DB6"/>
    <w:rsid w:val="00C47619"/>
    <w:rsid w:val="00C476DE"/>
    <w:rsid w:val="00C47891"/>
    <w:rsid w:val="00C47FE9"/>
    <w:rsid w:val="00C50793"/>
    <w:rsid w:val="00C5086A"/>
    <w:rsid w:val="00C5170E"/>
    <w:rsid w:val="00C52E7C"/>
    <w:rsid w:val="00C54ACF"/>
    <w:rsid w:val="00C54C38"/>
    <w:rsid w:val="00C555D3"/>
    <w:rsid w:val="00C55CB9"/>
    <w:rsid w:val="00C57DBA"/>
    <w:rsid w:val="00C60326"/>
    <w:rsid w:val="00C608A7"/>
    <w:rsid w:val="00C61D57"/>
    <w:rsid w:val="00C626FF"/>
    <w:rsid w:val="00C63850"/>
    <w:rsid w:val="00C638E7"/>
    <w:rsid w:val="00C63FF3"/>
    <w:rsid w:val="00C64544"/>
    <w:rsid w:val="00C64E82"/>
    <w:rsid w:val="00C67424"/>
    <w:rsid w:val="00C67CFA"/>
    <w:rsid w:val="00C703B1"/>
    <w:rsid w:val="00C70AA5"/>
    <w:rsid w:val="00C71F5E"/>
    <w:rsid w:val="00C72E30"/>
    <w:rsid w:val="00C74AB4"/>
    <w:rsid w:val="00C74AE3"/>
    <w:rsid w:val="00C76FDF"/>
    <w:rsid w:val="00C7759E"/>
    <w:rsid w:val="00C77EE1"/>
    <w:rsid w:val="00C8077A"/>
    <w:rsid w:val="00C80836"/>
    <w:rsid w:val="00C8089A"/>
    <w:rsid w:val="00C8182B"/>
    <w:rsid w:val="00C81CF4"/>
    <w:rsid w:val="00C82D2F"/>
    <w:rsid w:val="00C83FDF"/>
    <w:rsid w:val="00C84DE5"/>
    <w:rsid w:val="00C87368"/>
    <w:rsid w:val="00C90665"/>
    <w:rsid w:val="00C90C26"/>
    <w:rsid w:val="00C90F25"/>
    <w:rsid w:val="00C93247"/>
    <w:rsid w:val="00C95C84"/>
    <w:rsid w:val="00C95DD1"/>
    <w:rsid w:val="00C95FBC"/>
    <w:rsid w:val="00C9779C"/>
    <w:rsid w:val="00C97C41"/>
    <w:rsid w:val="00C97CD9"/>
    <w:rsid w:val="00CA0307"/>
    <w:rsid w:val="00CA0654"/>
    <w:rsid w:val="00CA0E37"/>
    <w:rsid w:val="00CA17B1"/>
    <w:rsid w:val="00CA231C"/>
    <w:rsid w:val="00CA33C4"/>
    <w:rsid w:val="00CA49BB"/>
    <w:rsid w:val="00CA4BD9"/>
    <w:rsid w:val="00CA53D0"/>
    <w:rsid w:val="00CA70E1"/>
    <w:rsid w:val="00CA7D6C"/>
    <w:rsid w:val="00CB0080"/>
    <w:rsid w:val="00CB0721"/>
    <w:rsid w:val="00CB431A"/>
    <w:rsid w:val="00CB496A"/>
    <w:rsid w:val="00CB4999"/>
    <w:rsid w:val="00CB58CB"/>
    <w:rsid w:val="00CB6380"/>
    <w:rsid w:val="00CB644E"/>
    <w:rsid w:val="00CC09C2"/>
    <w:rsid w:val="00CC0A08"/>
    <w:rsid w:val="00CC20A2"/>
    <w:rsid w:val="00CC36D1"/>
    <w:rsid w:val="00CC3950"/>
    <w:rsid w:val="00CC4DEF"/>
    <w:rsid w:val="00CC535E"/>
    <w:rsid w:val="00CC6045"/>
    <w:rsid w:val="00CD10E8"/>
    <w:rsid w:val="00CD1215"/>
    <w:rsid w:val="00CD12B8"/>
    <w:rsid w:val="00CD19ED"/>
    <w:rsid w:val="00CD1B2D"/>
    <w:rsid w:val="00CD26C5"/>
    <w:rsid w:val="00CD3256"/>
    <w:rsid w:val="00CD40BC"/>
    <w:rsid w:val="00CD5DC0"/>
    <w:rsid w:val="00CD64C4"/>
    <w:rsid w:val="00CD6935"/>
    <w:rsid w:val="00CD7DF8"/>
    <w:rsid w:val="00CE02DB"/>
    <w:rsid w:val="00CE1F3D"/>
    <w:rsid w:val="00CE214A"/>
    <w:rsid w:val="00CE3CCF"/>
    <w:rsid w:val="00CE3FAF"/>
    <w:rsid w:val="00CE6835"/>
    <w:rsid w:val="00CE6DA5"/>
    <w:rsid w:val="00CE73F1"/>
    <w:rsid w:val="00CE76FA"/>
    <w:rsid w:val="00CE7893"/>
    <w:rsid w:val="00CE7994"/>
    <w:rsid w:val="00CE7F00"/>
    <w:rsid w:val="00CF0656"/>
    <w:rsid w:val="00CF0AF5"/>
    <w:rsid w:val="00CF0F61"/>
    <w:rsid w:val="00CF15A3"/>
    <w:rsid w:val="00CF1723"/>
    <w:rsid w:val="00CF1BCF"/>
    <w:rsid w:val="00CF1E43"/>
    <w:rsid w:val="00CF20E7"/>
    <w:rsid w:val="00CF2EEC"/>
    <w:rsid w:val="00CF3564"/>
    <w:rsid w:val="00CF613E"/>
    <w:rsid w:val="00CF6394"/>
    <w:rsid w:val="00CF766B"/>
    <w:rsid w:val="00CF7A53"/>
    <w:rsid w:val="00D0058F"/>
    <w:rsid w:val="00D00CB1"/>
    <w:rsid w:val="00D029F7"/>
    <w:rsid w:val="00D02ABA"/>
    <w:rsid w:val="00D03BF8"/>
    <w:rsid w:val="00D04764"/>
    <w:rsid w:val="00D06AF1"/>
    <w:rsid w:val="00D10E3E"/>
    <w:rsid w:val="00D11981"/>
    <w:rsid w:val="00D11BFA"/>
    <w:rsid w:val="00D11D14"/>
    <w:rsid w:val="00D12268"/>
    <w:rsid w:val="00D12BB4"/>
    <w:rsid w:val="00D134AB"/>
    <w:rsid w:val="00D1352C"/>
    <w:rsid w:val="00D146F1"/>
    <w:rsid w:val="00D14D01"/>
    <w:rsid w:val="00D15D5F"/>
    <w:rsid w:val="00D1613B"/>
    <w:rsid w:val="00D1779F"/>
    <w:rsid w:val="00D200A8"/>
    <w:rsid w:val="00D217EB"/>
    <w:rsid w:val="00D2433A"/>
    <w:rsid w:val="00D24660"/>
    <w:rsid w:val="00D24C7D"/>
    <w:rsid w:val="00D261DA"/>
    <w:rsid w:val="00D27172"/>
    <w:rsid w:val="00D27FE3"/>
    <w:rsid w:val="00D3080E"/>
    <w:rsid w:val="00D321F3"/>
    <w:rsid w:val="00D324C7"/>
    <w:rsid w:val="00D33502"/>
    <w:rsid w:val="00D3361F"/>
    <w:rsid w:val="00D34967"/>
    <w:rsid w:val="00D358DC"/>
    <w:rsid w:val="00D40F62"/>
    <w:rsid w:val="00D43817"/>
    <w:rsid w:val="00D44735"/>
    <w:rsid w:val="00D46645"/>
    <w:rsid w:val="00D52468"/>
    <w:rsid w:val="00D53154"/>
    <w:rsid w:val="00D532ED"/>
    <w:rsid w:val="00D53989"/>
    <w:rsid w:val="00D548E0"/>
    <w:rsid w:val="00D55A08"/>
    <w:rsid w:val="00D56622"/>
    <w:rsid w:val="00D5735E"/>
    <w:rsid w:val="00D57678"/>
    <w:rsid w:val="00D57A7E"/>
    <w:rsid w:val="00D60A4C"/>
    <w:rsid w:val="00D60EBF"/>
    <w:rsid w:val="00D6411C"/>
    <w:rsid w:val="00D64FAA"/>
    <w:rsid w:val="00D659AE"/>
    <w:rsid w:val="00D65E87"/>
    <w:rsid w:val="00D668ED"/>
    <w:rsid w:val="00D706AA"/>
    <w:rsid w:val="00D71BAC"/>
    <w:rsid w:val="00D725B1"/>
    <w:rsid w:val="00D725FB"/>
    <w:rsid w:val="00D72C85"/>
    <w:rsid w:val="00D7383B"/>
    <w:rsid w:val="00D743A7"/>
    <w:rsid w:val="00D74A77"/>
    <w:rsid w:val="00D74F26"/>
    <w:rsid w:val="00D7552D"/>
    <w:rsid w:val="00D76B0B"/>
    <w:rsid w:val="00D76D6E"/>
    <w:rsid w:val="00D77B34"/>
    <w:rsid w:val="00D77CAA"/>
    <w:rsid w:val="00D77CCC"/>
    <w:rsid w:val="00D80718"/>
    <w:rsid w:val="00D80769"/>
    <w:rsid w:val="00D83133"/>
    <w:rsid w:val="00D83195"/>
    <w:rsid w:val="00D83A2C"/>
    <w:rsid w:val="00D83AEE"/>
    <w:rsid w:val="00D84199"/>
    <w:rsid w:val="00D8581C"/>
    <w:rsid w:val="00D85EA1"/>
    <w:rsid w:val="00D861C5"/>
    <w:rsid w:val="00D869E2"/>
    <w:rsid w:val="00D87F9D"/>
    <w:rsid w:val="00D9070B"/>
    <w:rsid w:val="00D92033"/>
    <w:rsid w:val="00D922E7"/>
    <w:rsid w:val="00D94AEA"/>
    <w:rsid w:val="00D94AF6"/>
    <w:rsid w:val="00D95237"/>
    <w:rsid w:val="00D959BD"/>
    <w:rsid w:val="00D95E6E"/>
    <w:rsid w:val="00D97CAC"/>
    <w:rsid w:val="00DA0217"/>
    <w:rsid w:val="00DA045D"/>
    <w:rsid w:val="00DA047D"/>
    <w:rsid w:val="00DA0C51"/>
    <w:rsid w:val="00DA1F8F"/>
    <w:rsid w:val="00DA2B12"/>
    <w:rsid w:val="00DA5859"/>
    <w:rsid w:val="00DB3513"/>
    <w:rsid w:val="00DB3681"/>
    <w:rsid w:val="00DB3E50"/>
    <w:rsid w:val="00DB4625"/>
    <w:rsid w:val="00DB6302"/>
    <w:rsid w:val="00DB6B08"/>
    <w:rsid w:val="00DB7049"/>
    <w:rsid w:val="00DB7213"/>
    <w:rsid w:val="00DC08DF"/>
    <w:rsid w:val="00DC0E3A"/>
    <w:rsid w:val="00DC1789"/>
    <w:rsid w:val="00DC2081"/>
    <w:rsid w:val="00DC2F3D"/>
    <w:rsid w:val="00DC2F9E"/>
    <w:rsid w:val="00DC4EDE"/>
    <w:rsid w:val="00DC5B54"/>
    <w:rsid w:val="00DC6088"/>
    <w:rsid w:val="00DC7045"/>
    <w:rsid w:val="00DD0A37"/>
    <w:rsid w:val="00DD3409"/>
    <w:rsid w:val="00DD3BAE"/>
    <w:rsid w:val="00DD5686"/>
    <w:rsid w:val="00DD666E"/>
    <w:rsid w:val="00DD6803"/>
    <w:rsid w:val="00DD6E42"/>
    <w:rsid w:val="00DD7AD3"/>
    <w:rsid w:val="00DE0189"/>
    <w:rsid w:val="00DE1D74"/>
    <w:rsid w:val="00DE2E93"/>
    <w:rsid w:val="00DE58C2"/>
    <w:rsid w:val="00DE7045"/>
    <w:rsid w:val="00DF0AB6"/>
    <w:rsid w:val="00DF120E"/>
    <w:rsid w:val="00DF1EBC"/>
    <w:rsid w:val="00DF2C51"/>
    <w:rsid w:val="00DF368F"/>
    <w:rsid w:val="00DF3DE9"/>
    <w:rsid w:val="00DF4F1C"/>
    <w:rsid w:val="00DF5A67"/>
    <w:rsid w:val="00DF5BE1"/>
    <w:rsid w:val="00DF6B7F"/>
    <w:rsid w:val="00E0135F"/>
    <w:rsid w:val="00E0181B"/>
    <w:rsid w:val="00E01FE0"/>
    <w:rsid w:val="00E0258C"/>
    <w:rsid w:val="00E041C1"/>
    <w:rsid w:val="00E04401"/>
    <w:rsid w:val="00E04FE1"/>
    <w:rsid w:val="00E058A3"/>
    <w:rsid w:val="00E058CE"/>
    <w:rsid w:val="00E06838"/>
    <w:rsid w:val="00E0694D"/>
    <w:rsid w:val="00E072D9"/>
    <w:rsid w:val="00E07840"/>
    <w:rsid w:val="00E07A13"/>
    <w:rsid w:val="00E10236"/>
    <w:rsid w:val="00E10A1A"/>
    <w:rsid w:val="00E10B01"/>
    <w:rsid w:val="00E115B4"/>
    <w:rsid w:val="00E11C97"/>
    <w:rsid w:val="00E139B7"/>
    <w:rsid w:val="00E14140"/>
    <w:rsid w:val="00E14361"/>
    <w:rsid w:val="00E14560"/>
    <w:rsid w:val="00E2000A"/>
    <w:rsid w:val="00E2063D"/>
    <w:rsid w:val="00E21703"/>
    <w:rsid w:val="00E22B06"/>
    <w:rsid w:val="00E23DA5"/>
    <w:rsid w:val="00E24ACB"/>
    <w:rsid w:val="00E261CC"/>
    <w:rsid w:val="00E268CF"/>
    <w:rsid w:val="00E26F8D"/>
    <w:rsid w:val="00E27A45"/>
    <w:rsid w:val="00E30864"/>
    <w:rsid w:val="00E30DB6"/>
    <w:rsid w:val="00E31384"/>
    <w:rsid w:val="00E31C08"/>
    <w:rsid w:val="00E3376A"/>
    <w:rsid w:val="00E33F08"/>
    <w:rsid w:val="00E34122"/>
    <w:rsid w:val="00E352BF"/>
    <w:rsid w:val="00E35CEE"/>
    <w:rsid w:val="00E36C12"/>
    <w:rsid w:val="00E36DEF"/>
    <w:rsid w:val="00E37201"/>
    <w:rsid w:val="00E3725A"/>
    <w:rsid w:val="00E375D5"/>
    <w:rsid w:val="00E41250"/>
    <w:rsid w:val="00E4143D"/>
    <w:rsid w:val="00E4216E"/>
    <w:rsid w:val="00E42FBC"/>
    <w:rsid w:val="00E43AFB"/>
    <w:rsid w:val="00E479EA"/>
    <w:rsid w:val="00E50223"/>
    <w:rsid w:val="00E515DC"/>
    <w:rsid w:val="00E519E9"/>
    <w:rsid w:val="00E52344"/>
    <w:rsid w:val="00E5256C"/>
    <w:rsid w:val="00E533D2"/>
    <w:rsid w:val="00E53D6F"/>
    <w:rsid w:val="00E540A9"/>
    <w:rsid w:val="00E541E1"/>
    <w:rsid w:val="00E550CD"/>
    <w:rsid w:val="00E553E6"/>
    <w:rsid w:val="00E56591"/>
    <w:rsid w:val="00E57030"/>
    <w:rsid w:val="00E57D52"/>
    <w:rsid w:val="00E57DEF"/>
    <w:rsid w:val="00E60BF3"/>
    <w:rsid w:val="00E60CDB"/>
    <w:rsid w:val="00E61E8F"/>
    <w:rsid w:val="00E61ED1"/>
    <w:rsid w:val="00E62785"/>
    <w:rsid w:val="00E634AD"/>
    <w:rsid w:val="00E636C5"/>
    <w:rsid w:val="00E63C2B"/>
    <w:rsid w:val="00E648D2"/>
    <w:rsid w:val="00E64FA7"/>
    <w:rsid w:val="00E65308"/>
    <w:rsid w:val="00E66FB2"/>
    <w:rsid w:val="00E67A23"/>
    <w:rsid w:val="00E67A53"/>
    <w:rsid w:val="00E701A6"/>
    <w:rsid w:val="00E70B13"/>
    <w:rsid w:val="00E72C89"/>
    <w:rsid w:val="00E72EEC"/>
    <w:rsid w:val="00E73233"/>
    <w:rsid w:val="00E74DCA"/>
    <w:rsid w:val="00E75E87"/>
    <w:rsid w:val="00E77261"/>
    <w:rsid w:val="00E77A9C"/>
    <w:rsid w:val="00E81D6D"/>
    <w:rsid w:val="00E81F01"/>
    <w:rsid w:val="00E8367F"/>
    <w:rsid w:val="00E83755"/>
    <w:rsid w:val="00E8450C"/>
    <w:rsid w:val="00E8594A"/>
    <w:rsid w:val="00E8679A"/>
    <w:rsid w:val="00E86C37"/>
    <w:rsid w:val="00E86CD3"/>
    <w:rsid w:val="00E87A49"/>
    <w:rsid w:val="00E87A6A"/>
    <w:rsid w:val="00E9301A"/>
    <w:rsid w:val="00E93190"/>
    <w:rsid w:val="00E97C62"/>
    <w:rsid w:val="00EA0D2B"/>
    <w:rsid w:val="00EA14FF"/>
    <w:rsid w:val="00EA21FF"/>
    <w:rsid w:val="00EA7168"/>
    <w:rsid w:val="00EA7BE6"/>
    <w:rsid w:val="00EB1825"/>
    <w:rsid w:val="00EB20A5"/>
    <w:rsid w:val="00EB230E"/>
    <w:rsid w:val="00EB2D51"/>
    <w:rsid w:val="00EB6412"/>
    <w:rsid w:val="00EB6915"/>
    <w:rsid w:val="00EB715D"/>
    <w:rsid w:val="00EB725A"/>
    <w:rsid w:val="00EB77FA"/>
    <w:rsid w:val="00EB7A7B"/>
    <w:rsid w:val="00EC014D"/>
    <w:rsid w:val="00EC0994"/>
    <w:rsid w:val="00EC14BE"/>
    <w:rsid w:val="00EC1ABD"/>
    <w:rsid w:val="00EC1F7A"/>
    <w:rsid w:val="00EC2203"/>
    <w:rsid w:val="00EC28C7"/>
    <w:rsid w:val="00EC5A03"/>
    <w:rsid w:val="00EC5C52"/>
    <w:rsid w:val="00EC6CFC"/>
    <w:rsid w:val="00EC6EA1"/>
    <w:rsid w:val="00EC734D"/>
    <w:rsid w:val="00ED0C0F"/>
    <w:rsid w:val="00ED2841"/>
    <w:rsid w:val="00ED2953"/>
    <w:rsid w:val="00ED3E06"/>
    <w:rsid w:val="00ED5DDC"/>
    <w:rsid w:val="00ED6FAA"/>
    <w:rsid w:val="00ED7F8A"/>
    <w:rsid w:val="00EE0677"/>
    <w:rsid w:val="00EE1E63"/>
    <w:rsid w:val="00EE3461"/>
    <w:rsid w:val="00EE3696"/>
    <w:rsid w:val="00EE3A1B"/>
    <w:rsid w:val="00EE4F22"/>
    <w:rsid w:val="00EE55D2"/>
    <w:rsid w:val="00EE79C2"/>
    <w:rsid w:val="00EE7E2C"/>
    <w:rsid w:val="00EF2426"/>
    <w:rsid w:val="00EF62AC"/>
    <w:rsid w:val="00EF7B4A"/>
    <w:rsid w:val="00F03AB0"/>
    <w:rsid w:val="00F050D4"/>
    <w:rsid w:val="00F05624"/>
    <w:rsid w:val="00F05EED"/>
    <w:rsid w:val="00F0657F"/>
    <w:rsid w:val="00F07223"/>
    <w:rsid w:val="00F075E3"/>
    <w:rsid w:val="00F1053B"/>
    <w:rsid w:val="00F12372"/>
    <w:rsid w:val="00F12782"/>
    <w:rsid w:val="00F14DB4"/>
    <w:rsid w:val="00F152D2"/>
    <w:rsid w:val="00F1531B"/>
    <w:rsid w:val="00F20661"/>
    <w:rsid w:val="00F2149C"/>
    <w:rsid w:val="00F21AC6"/>
    <w:rsid w:val="00F22C53"/>
    <w:rsid w:val="00F22CFA"/>
    <w:rsid w:val="00F2403E"/>
    <w:rsid w:val="00F248CC"/>
    <w:rsid w:val="00F254E7"/>
    <w:rsid w:val="00F25516"/>
    <w:rsid w:val="00F25FC9"/>
    <w:rsid w:val="00F276DF"/>
    <w:rsid w:val="00F30F42"/>
    <w:rsid w:val="00F324C7"/>
    <w:rsid w:val="00F32DA2"/>
    <w:rsid w:val="00F349A0"/>
    <w:rsid w:val="00F34EC8"/>
    <w:rsid w:val="00F37EAD"/>
    <w:rsid w:val="00F403F9"/>
    <w:rsid w:val="00F42FE1"/>
    <w:rsid w:val="00F43BCC"/>
    <w:rsid w:val="00F43F27"/>
    <w:rsid w:val="00F475A3"/>
    <w:rsid w:val="00F47D5D"/>
    <w:rsid w:val="00F505A8"/>
    <w:rsid w:val="00F50B4E"/>
    <w:rsid w:val="00F512A5"/>
    <w:rsid w:val="00F52939"/>
    <w:rsid w:val="00F54D4B"/>
    <w:rsid w:val="00F56383"/>
    <w:rsid w:val="00F577A6"/>
    <w:rsid w:val="00F606AF"/>
    <w:rsid w:val="00F61477"/>
    <w:rsid w:val="00F6234D"/>
    <w:rsid w:val="00F62559"/>
    <w:rsid w:val="00F63952"/>
    <w:rsid w:val="00F63D2C"/>
    <w:rsid w:val="00F64D4D"/>
    <w:rsid w:val="00F66AEC"/>
    <w:rsid w:val="00F66FFA"/>
    <w:rsid w:val="00F670BC"/>
    <w:rsid w:val="00F671FF"/>
    <w:rsid w:val="00F710AE"/>
    <w:rsid w:val="00F72CE8"/>
    <w:rsid w:val="00F741B4"/>
    <w:rsid w:val="00F74404"/>
    <w:rsid w:val="00F74B8F"/>
    <w:rsid w:val="00F75025"/>
    <w:rsid w:val="00F7721A"/>
    <w:rsid w:val="00F82F21"/>
    <w:rsid w:val="00F8365F"/>
    <w:rsid w:val="00F84472"/>
    <w:rsid w:val="00F84C79"/>
    <w:rsid w:val="00F84E83"/>
    <w:rsid w:val="00F853A3"/>
    <w:rsid w:val="00F858D6"/>
    <w:rsid w:val="00F859F8"/>
    <w:rsid w:val="00F86C85"/>
    <w:rsid w:val="00F86ED2"/>
    <w:rsid w:val="00F904AB"/>
    <w:rsid w:val="00F935BA"/>
    <w:rsid w:val="00F94241"/>
    <w:rsid w:val="00F94886"/>
    <w:rsid w:val="00F950F3"/>
    <w:rsid w:val="00F95A25"/>
    <w:rsid w:val="00F971AB"/>
    <w:rsid w:val="00F97D67"/>
    <w:rsid w:val="00F97E02"/>
    <w:rsid w:val="00FA0B0C"/>
    <w:rsid w:val="00FA0BF2"/>
    <w:rsid w:val="00FA1499"/>
    <w:rsid w:val="00FA18B0"/>
    <w:rsid w:val="00FA1E3D"/>
    <w:rsid w:val="00FA2F5B"/>
    <w:rsid w:val="00FA3624"/>
    <w:rsid w:val="00FA575A"/>
    <w:rsid w:val="00FA6217"/>
    <w:rsid w:val="00FB0408"/>
    <w:rsid w:val="00FB09BB"/>
    <w:rsid w:val="00FB16B7"/>
    <w:rsid w:val="00FB1E05"/>
    <w:rsid w:val="00FB2750"/>
    <w:rsid w:val="00FB2B3B"/>
    <w:rsid w:val="00FB3E94"/>
    <w:rsid w:val="00FB4F27"/>
    <w:rsid w:val="00FB5D91"/>
    <w:rsid w:val="00FB5DB4"/>
    <w:rsid w:val="00FB5F6C"/>
    <w:rsid w:val="00FB7128"/>
    <w:rsid w:val="00FB735C"/>
    <w:rsid w:val="00FC1C67"/>
    <w:rsid w:val="00FC1F8D"/>
    <w:rsid w:val="00FC45D1"/>
    <w:rsid w:val="00FC5374"/>
    <w:rsid w:val="00FC54AE"/>
    <w:rsid w:val="00FC66B8"/>
    <w:rsid w:val="00FC765D"/>
    <w:rsid w:val="00FC79DF"/>
    <w:rsid w:val="00FD0098"/>
    <w:rsid w:val="00FD1231"/>
    <w:rsid w:val="00FD1D70"/>
    <w:rsid w:val="00FD234A"/>
    <w:rsid w:val="00FD25B2"/>
    <w:rsid w:val="00FD3330"/>
    <w:rsid w:val="00FD4ADC"/>
    <w:rsid w:val="00FD6019"/>
    <w:rsid w:val="00FD6A9C"/>
    <w:rsid w:val="00FD719D"/>
    <w:rsid w:val="00FD752F"/>
    <w:rsid w:val="00FE0D9B"/>
    <w:rsid w:val="00FE1116"/>
    <w:rsid w:val="00FE18E5"/>
    <w:rsid w:val="00FE1C4E"/>
    <w:rsid w:val="00FE2BEE"/>
    <w:rsid w:val="00FE495D"/>
    <w:rsid w:val="00FE613B"/>
    <w:rsid w:val="00FE6CFD"/>
    <w:rsid w:val="00FF1A95"/>
    <w:rsid w:val="00FF20EB"/>
    <w:rsid w:val="00FF2B4F"/>
    <w:rsid w:val="00FF360C"/>
    <w:rsid w:val="00FF45E2"/>
    <w:rsid w:val="00FF4A13"/>
    <w:rsid w:val="00FF4E3A"/>
    <w:rsid w:val="00FF51B4"/>
    <w:rsid w:val="00FF5BDD"/>
    <w:rsid w:val="00FF60E7"/>
    <w:rsid w:val="00FF687D"/>
    <w:rsid w:val="00FF68F4"/>
    <w:rsid w:val="00FF6E8D"/>
    <w:rsid w:val="00FF7B4B"/>
    <w:rsid w:val="09EC4C95"/>
    <w:rsid w:val="0EF91519"/>
    <w:rsid w:val="1D44292C"/>
    <w:rsid w:val="1F916AC6"/>
    <w:rsid w:val="224369C1"/>
    <w:rsid w:val="37B96B19"/>
    <w:rsid w:val="391C0796"/>
    <w:rsid w:val="3936575D"/>
    <w:rsid w:val="41240AEE"/>
    <w:rsid w:val="4CA84846"/>
    <w:rsid w:val="52EF1142"/>
    <w:rsid w:val="5FED57B0"/>
    <w:rsid w:val="62BA1775"/>
    <w:rsid w:val="68A937B1"/>
    <w:rsid w:val="697E3BD5"/>
    <w:rsid w:val="6DFC4C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link w:val="73"/>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28">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4">
    <w:name w:val="List 3"/>
    <w:basedOn w:val="1"/>
    <w:qFormat/>
    <w:uiPriority w:val="0"/>
    <w:pPr>
      <w:ind w:left="1260" w:hanging="420"/>
    </w:pPr>
    <w:rPr>
      <w:szCs w:val="20"/>
    </w:rPr>
  </w:style>
  <w:style w:type="paragraph" w:styleId="5">
    <w:name w:val="annotation subject"/>
    <w:basedOn w:val="6"/>
    <w:next w:val="6"/>
    <w:semiHidden/>
    <w:qFormat/>
    <w:uiPriority w:val="0"/>
    <w:rPr>
      <w:b/>
      <w:bCs/>
    </w:rPr>
  </w:style>
  <w:style w:type="paragraph" w:styleId="6">
    <w:name w:val="annotation text"/>
    <w:basedOn w:val="1"/>
    <w:semiHidden/>
    <w:qFormat/>
    <w:uiPriority w:val="0"/>
    <w:pPr>
      <w:jc w:val="left"/>
    </w:pPr>
  </w:style>
  <w:style w:type="paragraph" w:styleId="7">
    <w:name w:val="Normal Indent"/>
    <w:basedOn w:val="1"/>
    <w:link w:val="76"/>
    <w:qFormat/>
    <w:uiPriority w:val="0"/>
    <w:pPr>
      <w:adjustRightInd w:val="0"/>
      <w:ind w:firstLine="420"/>
    </w:pPr>
    <w:rPr>
      <w:kern w:val="0"/>
    </w:rPr>
  </w:style>
  <w:style w:type="paragraph" w:styleId="8">
    <w:name w:val="Document Map"/>
    <w:basedOn w:val="1"/>
    <w:semiHidden/>
    <w:qFormat/>
    <w:uiPriority w:val="0"/>
    <w:pPr>
      <w:shd w:val="clear" w:color="auto" w:fill="000080"/>
    </w:pPr>
  </w:style>
  <w:style w:type="paragraph" w:styleId="9">
    <w:name w:val="Body Text"/>
    <w:basedOn w:val="1"/>
    <w:link w:val="84"/>
    <w:qFormat/>
    <w:uiPriority w:val="0"/>
    <w:pPr>
      <w:spacing w:after="120"/>
    </w:pPr>
  </w:style>
  <w:style w:type="paragraph" w:styleId="10">
    <w:name w:val="Body Text Indent"/>
    <w:basedOn w:val="1"/>
    <w:qFormat/>
    <w:uiPriority w:val="0"/>
    <w:pPr>
      <w:spacing w:after="120"/>
      <w:ind w:left="420" w:leftChars="200"/>
    </w:pPr>
  </w:style>
  <w:style w:type="paragraph" w:styleId="11">
    <w:name w:val="List 2"/>
    <w:basedOn w:val="1"/>
    <w:qFormat/>
    <w:uiPriority w:val="0"/>
    <w:pPr>
      <w:ind w:left="100" w:leftChars="200" w:hanging="200" w:hangingChars="200"/>
    </w:pPr>
    <w:rPr>
      <w:szCs w:val="20"/>
    </w:rPr>
  </w:style>
  <w:style w:type="paragraph" w:styleId="12">
    <w:name w:val="toc 5"/>
    <w:basedOn w:val="1"/>
    <w:next w:val="1"/>
    <w:semiHidden/>
    <w:qFormat/>
    <w:uiPriority w:val="0"/>
    <w:pPr>
      <w:ind w:left="1680" w:leftChars="800"/>
    </w:pPr>
  </w:style>
  <w:style w:type="paragraph" w:styleId="13">
    <w:name w:val="toc 3"/>
    <w:basedOn w:val="1"/>
    <w:next w:val="1"/>
    <w:qFormat/>
    <w:uiPriority w:val="39"/>
    <w:pPr>
      <w:ind w:left="840" w:leftChars="400"/>
    </w:pPr>
    <w:rPr>
      <w:szCs w:val="20"/>
    </w:rPr>
  </w:style>
  <w:style w:type="paragraph" w:styleId="14">
    <w:name w:val="Plain Text"/>
    <w:basedOn w:val="1"/>
    <w:link w:val="69"/>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60" w:lineRule="auto"/>
      <w:ind w:firstLine="560"/>
    </w:pPr>
    <w:rPr>
      <w:rFonts w:ascii="仿宋_GB2312" w:eastAsia="仿宋_GB2312"/>
      <w:sz w:val="28"/>
      <w:szCs w:val="20"/>
    </w:rPr>
  </w:style>
  <w:style w:type="paragraph" w:styleId="17">
    <w:name w:val="Balloon Text"/>
    <w:basedOn w:val="1"/>
    <w:semiHidden/>
    <w:qFormat/>
    <w:uiPriority w:val="0"/>
    <w:rPr>
      <w:sz w:val="18"/>
      <w:szCs w:val="18"/>
    </w:rPr>
  </w:style>
  <w:style w:type="paragraph" w:styleId="18">
    <w:name w:val="footer"/>
    <w:basedOn w:val="1"/>
    <w:link w:val="78"/>
    <w:qFormat/>
    <w:uiPriority w:val="99"/>
    <w:pPr>
      <w:tabs>
        <w:tab w:val="center" w:pos="4153"/>
        <w:tab w:val="right" w:pos="8306"/>
      </w:tabs>
      <w:snapToGrid w:val="0"/>
      <w:jc w:val="left"/>
    </w:pPr>
    <w:rPr>
      <w:sz w:val="18"/>
      <w:szCs w:val="18"/>
    </w:rPr>
  </w:style>
  <w:style w:type="paragraph" w:styleId="19">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22">
    <w:name w:val="List"/>
    <w:basedOn w:val="1"/>
    <w:qFormat/>
    <w:uiPriority w:val="0"/>
    <w:pPr>
      <w:ind w:left="200" w:hanging="200" w:hangingChars="200"/>
    </w:pPr>
    <w:rPr>
      <w:szCs w:val="20"/>
    </w:rPr>
  </w:style>
  <w:style w:type="paragraph" w:styleId="23">
    <w:name w:val="toc 2"/>
    <w:basedOn w:val="1"/>
    <w:next w:val="1"/>
    <w:qFormat/>
    <w:uiPriority w:val="39"/>
    <w:pPr>
      <w:tabs>
        <w:tab w:val="left" w:pos="945"/>
        <w:tab w:val="right" w:leader="dot" w:pos="8296"/>
      </w:tabs>
      <w:spacing w:line="360" w:lineRule="auto"/>
      <w:ind w:left="420" w:leftChars="200"/>
    </w:pPr>
  </w:style>
  <w:style w:type="paragraph" w:styleId="24">
    <w:name w:val="List 4"/>
    <w:basedOn w:val="1"/>
    <w:qFormat/>
    <w:uiPriority w:val="0"/>
    <w:pPr>
      <w:ind w:left="100" w:leftChars="600" w:hanging="200" w:hangingChars="200"/>
    </w:pPr>
    <w:rPr>
      <w:szCs w:val="20"/>
    </w:rPr>
  </w:style>
  <w:style w:type="paragraph" w:styleId="25">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qFormat/>
    <w:uiPriority w:val="99"/>
    <w:pPr>
      <w:widowControl/>
      <w:spacing w:before="100" w:beforeAutospacing="1" w:after="100" w:afterAutospacing="1"/>
      <w:jc w:val="left"/>
    </w:pPr>
    <w:rPr>
      <w:rFonts w:ascii="宋体" w:hAnsi="宋体"/>
      <w:color w:val="000000"/>
      <w:kern w:val="0"/>
      <w:sz w:val="24"/>
      <w:szCs w:val="20"/>
    </w:rPr>
  </w:style>
  <w:style w:type="paragraph" w:styleId="27">
    <w:name w:val="Title"/>
    <w:basedOn w:val="1"/>
    <w:next w:val="1"/>
    <w:link w:val="83"/>
    <w:qFormat/>
    <w:uiPriority w:val="0"/>
    <w:pPr>
      <w:spacing w:before="240" w:after="60"/>
      <w:ind w:left="100" w:leftChars="100" w:right="100" w:rightChars="100"/>
      <w:jc w:val="center"/>
      <w:outlineLvl w:val="0"/>
    </w:pPr>
    <w:rPr>
      <w:rFonts w:ascii="Cambria" w:hAnsi="Cambria"/>
      <w:b/>
      <w:bCs/>
      <w:sz w:val="32"/>
      <w:szCs w:val="32"/>
    </w:rPr>
  </w:style>
  <w:style w:type="character" w:styleId="29">
    <w:name w:val="page number"/>
    <w:basedOn w:val="28"/>
    <w:qFormat/>
    <w:uiPriority w:val="0"/>
  </w:style>
  <w:style w:type="character" w:styleId="30">
    <w:name w:val="FollowedHyperlink"/>
    <w:qFormat/>
    <w:uiPriority w:val="0"/>
    <w:rPr>
      <w:color w:val="606420"/>
      <w:u w:val="single"/>
    </w:rPr>
  </w:style>
  <w:style w:type="character" w:styleId="31">
    <w:name w:val="Emphasis"/>
    <w:qFormat/>
    <w:uiPriority w:val="0"/>
    <w:rPr>
      <w:color w:val="CC0000"/>
    </w:rPr>
  </w:style>
  <w:style w:type="character" w:styleId="32">
    <w:name w:val="Hyperlink"/>
    <w:qFormat/>
    <w:uiPriority w:val="99"/>
    <w:rPr>
      <w:color w:val="0000FF"/>
      <w:u w:val="single"/>
    </w:rPr>
  </w:style>
  <w:style w:type="character" w:styleId="33">
    <w:name w:val="annotation reference"/>
    <w:semiHidden/>
    <w:qFormat/>
    <w:uiPriority w:val="0"/>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前言、引言标题"/>
    <w:next w:val="1"/>
    <w:qFormat/>
    <w:uiPriority w:val="0"/>
    <w:pPr>
      <w:shd w:val="clear" w:color="FFFFFF" w:fill="FFFFFF"/>
      <w:spacing w:before="640" w:after="560"/>
      <w:jc w:val="center"/>
      <w:outlineLvl w:val="0"/>
    </w:pPr>
    <w:rPr>
      <w:rFonts w:ascii="黑体" w:hAnsi="Calibri" w:eastAsia="黑体" w:cs="Calibri"/>
      <w:sz w:val="32"/>
      <w:lang w:val="en-US" w:eastAsia="zh-CN" w:bidi="ar-SA"/>
    </w:rPr>
  </w:style>
  <w:style w:type="paragraph" w:customStyle="1" w:styleId="37">
    <w:name w:val="_Style 36"/>
    <w:semiHidden/>
    <w:qFormat/>
    <w:uiPriority w:val="99"/>
    <w:rPr>
      <w:rFonts w:ascii="Calibri" w:hAnsi="Calibri" w:eastAsia="宋体" w:cs="Calibri"/>
      <w:kern w:val="2"/>
      <w:sz w:val="21"/>
      <w:szCs w:val="24"/>
      <w:lang w:val="en-US" w:eastAsia="zh-CN" w:bidi="ar-SA"/>
    </w:rPr>
  </w:style>
  <w:style w:type="paragraph" w:styleId="38">
    <w:name w:val="List Paragraph"/>
    <w:basedOn w:val="1"/>
    <w:qFormat/>
    <w:uiPriority w:val="34"/>
    <w:pPr>
      <w:ind w:left="100" w:leftChars="100" w:right="100" w:rightChars="100" w:firstLine="420" w:firstLineChars="200"/>
    </w:pPr>
  </w:style>
  <w:style w:type="paragraph" w:customStyle="1" w:styleId="39">
    <w:name w:val="p0"/>
    <w:basedOn w:val="1"/>
    <w:qFormat/>
    <w:uiPriority w:val="0"/>
    <w:pPr>
      <w:widowControl/>
    </w:pPr>
    <w:rPr>
      <w:kern w:val="0"/>
      <w:szCs w:val="20"/>
    </w:rPr>
  </w:style>
  <w:style w:type="paragraph" w:customStyle="1" w:styleId="40">
    <w:name w:val="一级条标题"/>
    <w:next w:val="41"/>
    <w:link w:val="75"/>
    <w:qFormat/>
    <w:uiPriority w:val="0"/>
    <w:pPr>
      <w:outlineLvl w:val="2"/>
    </w:pPr>
    <w:rPr>
      <w:rFonts w:ascii="Calibri" w:hAnsi="Calibri" w:eastAsia="黑体" w:cs="Calibri"/>
      <w:sz w:val="21"/>
      <w:lang w:val="en-US" w:eastAsia="zh-CN" w:bidi="ar-SA"/>
    </w:rPr>
  </w:style>
  <w:style w:type="paragraph" w:customStyle="1" w:styleId="41">
    <w:name w:val="段"/>
    <w:link w:val="67"/>
    <w:qFormat/>
    <w:uiPriority w:val="0"/>
    <w:pPr>
      <w:autoSpaceDE w:val="0"/>
      <w:autoSpaceDN w:val="0"/>
      <w:ind w:firstLine="200" w:firstLineChars="200"/>
      <w:jc w:val="both"/>
    </w:pPr>
    <w:rPr>
      <w:rFonts w:ascii="宋体" w:hAnsi="Calibri" w:eastAsia="宋体" w:cs="Calibri"/>
      <w:sz w:val="21"/>
      <w:lang w:val="en-US" w:eastAsia="zh-CN" w:bidi="ar-SA"/>
    </w:rPr>
  </w:style>
  <w:style w:type="paragraph" w:customStyle="1" w:styleId="42">
    <w:name w:val="字母编号列项（一级）"/>
    <w:qFormat/>
    <w:uiPriority w:val="0"/>
    <w:pPr>
      <w:tabs>
        <w:tab w:val="left" w:pos="839"/>
      </w:tabs>
      <w:ind w:left="839" w:hanging="419"/>
      <w:jc w:val="both"/>
    </w:pPr>
    <w:rPr>
      <w:rFonts w:ascii="宋体" w:hAnsi="Calibri" w:eastAsia="宋体" w:cs="Calibri"/>
      <w:sz w:val="21"/>
      <w:lang w:val="en-US" w:eastAsia="zh-CN" w:bidi="ar-SA"/>
    </w:rPr>
  </w:style>
  <w:style w:type="paragraph" w:customStyle="1" w:styleId="43">
    <w:name w:val="五级条标题"/>
    <w:basedOn w:val="44"/>
    <w:next w:val="41"/>
    <w:qFormat/>
    <w:uiPriority w:val="0"/>
    <w:pPr>
      <w:outlineLvl w:val="6"/>
    </w:pPr>
  </w:style>
  <w:style w:type="paragraph" w:customStyle="1" w:styleId="44">
    <w:name w:val="四级条标题"/>
    <w:basedOn w:val="45"/>
    <w:next w:val="41"/>
    <w:qFormat/>
    <w:uiPriority w:val="0"/>
    <w:pPr>
      <w:outlineLvl w:val="5"/>
    </w:pPr>
  </w:style>
  <w:style w:type="paragraph" w:customStyle="1" w:styleId="45">
    <w:name w:val="三级条标题"/>
    <w:basedOn w:val="46"/>
    <w:next w:val="41"/>
    <w:qFormat/>
    <w:uiPriority w:val="0"/>
    <w:pPr>
      <w:ind w:left="0"/>
      <w:outlineLvl w:val="4"/>
    </w:pPr>
  </w:style>
  <w:style w:type="paragraph" w:customStyle="1" w:styleId="46">
    <w:name w:val="二级条标题"/>
    <w:basedOn w:val="40"/>
    <w:next w:val="41"/>
    <w:qFormat/>
    <w:uiPriority w:val="0"/>
    <w:pPr>
      <w:ind w:left="646"/>
      <w:outlineLvl w:val="3"/>
    </w:pPr>
  </w:style>
  <w:style w:type="paragraph" w:customStyle="1" w:styleId="47">
    <w:name w:val="Char Char Char Char Char Char Char"/>
    <w:basedOn w:val="1"/>
    <w:qFormat/>
    <w:uiPriority w:val="0"/>
    <w:pPr>
      <w:widowControl/>
      <w:spacing w:after="160" w:line="240" w:lineRule="exact"/>
      <w:jc w:val="left"/>
    </w:pPr>
    <w:rPr>
      <w:szCs w:val="20"/>
    </w:rPr>
  </w:style>
  <w:style w:type="paragraph" w:customStyle="1" w:styleId="48">
    <w:name w:val="Char1"/>
    <w:basedOn w:val="2"/>
    <w:qFormat/>
    <w:uiPriority w:val="0"/>
    <w:pPr>
      <w:spacing w:before="0" w:after="0" w:line="240" w:lineRule="auto"/>
      <w:jc w:val="center"/>
    </w:pPr>
    <w:rPr>
      <w:bCs w:val="0"/>
      <w:sz w:val="28"/>
      <w:szCs w:val="20"/>
      <w:lang w:val="en-US" w:eastAsia="zh-CN"/>
    </w:rPr>
  </w:style>
  <w:style w:type="paragraph" w:customStyle="1" w:styleId="49">
    <w:name w:val=" Char1 Char Char Char Char Char1 Char"/>
    <w:basedOn w:val="1"/>
    <w:qFormat/>
    <w:uiPriority w:val="0"/>
    <w:pPr>
      <w:spacing w:line="360" w:lineRule="auto"/>
      <w:jc w:val="left"/>
    </w:pPr>
    <w:rPr>
      <w:szCs w:val="20"/>
    </w:rPr>
  </w:style>
  <w:style w:type="paragraph" w:styleId="50">
    <w:name w:val="No Spacing"/>
    <w:link w:val="62"/>
    <w:qFormat/>
    <w:uiPriority w:val="1"/>
    <w:rPr>
      <w:rFonts w:ascii="Calibri" w:hAnsi="Calibri" w:eastAsia="宋体" w:cs="Calibri"/>
      <w:sz w:val="22"/>
      <w:szCs w:val="22"/>
      <w:lang w:val="en-US" w:eastAsia="zh-CN" w:bidi="ar-SA"/>
    </w:rPr>
  </w:style>
  <w:style w:type="paragraph" w:customStyle="1" w:styleId="51">
    <w:name w:val="章标题"/>
    <w:next w:val="41"/>
    <w:qFormat/>
    <w:uiPriority w:val="0"/>
    <w:pPr>
      <w:spacing w:before="156" w:beforeLines="50" w:after="156" w:afterLines="50"/>
      <w:jc w:val="both"/>
      <w:outlineLvl w:val="1"/>
    </w:pPr>
    <w:rPr>
      <w:rFonts w:ascii="黑体" w:hAnsi="Calibri" w:eastAsia="黑体" w:cs="Calibri"/>
      <w:sz w:val="21"/>
      <w:lang w:val="en-US" w:eastAsia="zh-CN" w:bidi="ar-SA"/>
    </w:rPr>
  </w:style>
  <w:style w:type="paragraph" w:customStyle="1" w:styleId="52">
    <w:name w:val="无间隔1"/>
    <w:qFormat/>
    <w:uiPriority w:val="0"/>
    <w:pPr>
      <w:widowControl w:val="0"/>
      <w:spacing w:line="360" w:lineRule="auto"/>
      <w:ind w:firstLine="200" w:firstLineChars="200"/>
      <w:jc w:val="both"/>
    </w:pPr>
    <w:rPr>
      <w:rFonts w:ascii="Calibri" w:hAnsi="Calibri" w:eastAsia="仿宋_GB2312" w:cs="Calibri"/>
      <w:kern w:val="2"/>
      <w:sz w:val="21"/>
      <w:szCs w:val="22"/>
      <w:lang w:val="en-US" w:eastAsia="zh-CN" w:bidi="ar-SA"/>
    </w:rPr>
  </w:style>
  <w:style w:type="paragraph" w:customStyle="1" w:styleId="53">
    <w:name w:val="三级无"/>
    <w:basedOn w:val="1"/>
    <w:qFormat/>
    <w:uiPriority w:val="0"/>
    <w:pPr>
      <w:widowControl/>
      <w:numPr>
        <w:ilvl w:val="3"/>
        <w:numId w:val="0"/>
      </w:numPr>
      <w:jc w:val="left"/>
      <w:outlineLvl w:val="4"/>
    </w:pPr>
    <w:rPr>
      <w:rFonts w:ascii="宋体"/>
      <w:kern w:val="0"/>
      <w:szCs w:val="21"/>
    </w:rPr>
  </w:style>
  <w:style w:type="paragraph" w:customStyle="1" w:styleId="5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表标题"/>
    <w:next w:val="41"/>
    <w:qFormat/>
    <w:uiPriority w:val="0"/>
    <w:pPr>
      <w:ind w:left="720" w:hanging="720"/>
      <w:jc w:val="center"/>
    </w:pPr>
    <w:rPr>
      <w:rFonts w:ascii="黑体" w:hAnsi="Calibri" w:eastAsia="黑体" w:cs="Calibri"/>
      <w:sz w:val="21"/>
      <w:lang w:val="en-US" w:eastAsia="zh-CN" w:bidi="ar-SA"/>
    </w:rPr>
  </w:style>
  <w:style w:type="paragraph" w:customStyle="1" w:styleId="56">
    <w:name w:val="Char"/>
    <w:basedOn w:val="1"/>
    <w:link w:val="81"/>
    <w:qFormat/>
    <w:uiPriority w:val="0"/>
    <w:pPr>
      <w:spacing w:line="400" w:lineRule="exact"/>
      <w:jc w:val="center"/>
    </w:pPr>
    <w:rPr>
      <w:rFonts w:ascii="宋体" w:hAnsi="宋体"/>
      <w:w w:val="120"/>
      <w:szCs w:val="20"/>
    </w:rPr>
  </w:style>
  <w:style w:type="paragraph" w:customStyle="1" w:styleId="57">
    <w:name w:val="封面标准文稿编辑信息"/>
    <w:qFormat/>
    <w:uiPriority w:val="0"/>
    <w:pPr>
      <w:spacing w:before="180" w:line="180" w:lineRule="exact"/>
      <w:jc w:val="center"/>
    </w:pPr>
    <w:rPr>
      <w:rFonts w:ascii="宋体" w:hAnsi="Calibri" w:eastAsia="宋体" w:cs="Calibri"/>
      <w:sz w:val="21"/>
      <w:lang w:val="en-US" w:eastAsia="zh-CN" w:bidi="ar-SA"/>
    </w:rPr>
  </w:style>
  <w:style w:type="paragraph" w:customStyle="1" w:styleId="5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9">
    <w:name w:val="编号列项（三级）"/>
    <w:qFormat/>
    <w:uiPriority w:val="0"/>
    <w:pPr>
      <w:tabs>
        <w:tab w:val="left" w:pos="0"/>
      </w:tabs>
      <w:ind w:left="1678" w:hanging="419"/>
    </w:pPr>
    <w:rPr>
      <w:rFonts w:ascii="宋体" w:hAnsi="Calibri" w:eastAsia="宋体" w:cs="Calibri"/>
      <w:sz w:val="21"/>
      <w:lang w:val="en-US" w:eastAsia="zh-CN" w:bidi="ar-SA"/>
    </w:rPr>
  </w:style>
  <w:style w:type="paragraph" w:customStyle="1" w:styleId="60">
    <w:name w:val="样式1"/>
    <w:basedOn w:val="2"/>
    <w:qFormat/>
    <w:uiPriority w:val="0"/>
    <w:pPr>
      <w:spacing w:before="0" w:after="0" w:line="240" w:lineRule="auto"/>
      <w:jc w:val="center"/>
    </w:pPr>
    <w:rPr>
      <w:rFonts w:ascii="宋体" w:hAnsi="宋体"/>
      <w:b w:val="0"/>
      <w:bCs w:val="0"/>
      <w:sz w:val="28"/>
      <w:szCs w:val="20"/>
      <w:lang w:val="en-US" w:eastAsia="zh-CN"/>
    </w:rPr>
  </w:style>
  <w:style w:type="paragraph" w:customStyle="1" w:styleId="61">
    <w:name w:val="数字编号列项（二级）"/>
    <w:qFormat/>
    <w:uiPriority w:val="0"/>
    <w:pPr>
      <w:tabs>
        <w:tab w:val="left" w:pos="1259"/>
      </w:tabs>
      <w:ind w:left="1259" w:hanging="420"/>
      <w:jc w:val="both"/>
    </w:pPr>
    <w:rPr>
      <w:rFonts w:ascii="宋体" w:hAnsi="Calibri" w:eastAsia="宋体" w:cs="Calibri"/>
      <w:sz w:val="21"/>
      <w:lang w:val="en-US" w:eastAsia="zh-CN" w:bidi="ar-SA"/>
    </w:rPr>
  </w:style>
  <w:style w:type="character" w:customStyle="1" w:styleId="62">
    <w:name w:val="无间隔 Char"/>
    <w:link w:val="50"/>
    <w:qFormat/>
    <w:uiPriority w:val="1"/>
    <w:rPr>
      <w:rFonts w:ascii="Calibri" w:hAnsi="Calibri"/>
      <w:sz w:val="22"/>
      <w:szCs w:val="22"/>
      <w:lang w:val="en-US" w:eastAsia="zh-CN" w:bidi="ar-SA"/>
    </w:rPr>
  </w:style>
  <w:style w:type="character" w:customStyle="1" w:styleId="63">
    <w:name w:val="正文 + 四号 Char"/>
    <w:qFormat/>
    <w:uiPriority w:val="0"/>
    <w:rPr>
      <w:rFonts w:eastAsia="宋体"/>
      <w:kern w:val="2"/>
      <w:sz w:val="28"/>
      <w:szCs w:val="28"/>
      <w:lang w:val="en-US" w:eastAsia="zh-CN" w:bidi="ar-SA"/>
    </w:rPr>
  </w:style>
  <w:style w:type="character" w:customStyle="1" w:styleId="64">
    <w:name w:val="Char Char3"/>
    <w:qFormat/>
    <w:uiPriority w:val="0"/>
    <w:rPr>
      <w:rFonts w:eastAsia="宋体"/>
      <w:b/>
      <w:kern w:val="44"/>
      <w:sz w:val="28"/>
      <w:lang w:val="en-US" w:eastAsia="zh-CN"/>
    </w:rPr>
  </w:style>
  <w:style w:type="character" w:customStyle="1" w:styleId="65">
    <w:name w:val="HTML 预设格式 Char"/>
    <w:basedOn w:val="28"/>
    <w:link w:val="25"/>
    <w:qFormat/>
    <w:uiPriority w:val="99"/>
    <w:rPr>
      <w:rFonts w:ascii="宋体" w:hAnsi="宋体" w:cs="宋体"/>
      <w:sz w:val="24"/>
      <w:szCs w:val="24"/>
    </w:rPr>
  </w:style>
  <w:style w:type="character" w:customStyle="1" w:styleId="66">
    <w:name w:val="apple-converted-space"/>
    <w:basedOn w:val="28"/>
    <w:qFormat/>
    <w:uiPriority w:val="0"/>
  </w:style>
  <w:style w:type="character" w:customStyle="1" w:styleId="67">
    <w:name w:val="段 Char"/>
    <w:link w:val="41"/>
    <w:qFormat/>
    <w:uiPriority w:val="0"/>
    <w:rPr>
      <w:rFonts w:ascii="宋体"/>
      <w:sz w:val="21"/>
      <w:lang w:val="en-US" w:eastAsia="zh-CN" w:bidi="ar-SA"/>
    </w:rPr>
  </w:style>
  <w:style w:type="character" w:customStyle="1" w:styleId="68">
    <w:name w:val="highlight1"/>
    <w:qFormat/>
    <w:uiPriority w:val="0"/>
    <w:rPr>
      <w:shd w:val="clear" w:color="auto" w:fill="FFFF00"/>
    </w:rPr>
  </w:style>
  <w:style w:type="character" w:customStyle="1" w:styleId="69">
    <w:name w:val="纯文本 Char"/>
    <w:link w:val="14"/>
    <w:qFormat/>
    <w:uiPriority w:val="0"/>
    <w:rPr>
      <w:rFonts w:ascii="宋体" w:hAnsi="Courier New" w:eastAsia="宋体" w:cs="Courier New"/>
      <w:kern w:val="2"/>
      <w:sz w:val="21"/>
      <w:szCs w:val="21"/>
      <w:lang w:val="en-US" w:eastAsia="zh-CN" w:bidi="ar-SA"/>
    </w:rPr>
  </w:style>
  <w:style w:type="character" w:customStyle="1" w:styleId="70">
    <w:name w:val="标题 1 Char"/>
    <w:link w:val="2"/>
    <w:qFormat/>
    <w:uiPriority w:val="0"/>
    <w:rPr>
      <w:b/>
      <w:bCs/>
      <w:kern w:val="44"/>
      <w:sz w:val="28"/>
      <w:szCs w:val="44"/>
    </w:rPr>
  </w:style>
  <w:style w:type="character" w:customStyle="1" w:styleId="71">
    <w:name w:val="段 Char Char"/>
    <w:qFormat/>
    <w:uiPriority w:val="0"/>
    <w:rPr>
      <w:rFonts w:ascii="宋体"/>
      <w:sz w:val="21"/>
      <w:lang w:val="en-US" w:eastAsia="zh-CN" w:bidi="ar-SA"/>
    </w:rPr>
  </w:style>
  <w:style w:type="character" w:customStyle="1" w:styleId="72">
    <w:name w:val="一级条标题 Char Char"/>
    <w:qFormat/>
    <w:uiPriority w:val="0"/>
    <w:rPr>
      <w:rFonts w:eastAsia="黑体"/>
      <w:sz w:val="21"/>
      <w:lang w:val="en-US" w:eastAsia="zh-CN" w:bidi="ar-SA"/>
    </w:rPr>
  </w:style>
  <w:style w:type="character" w:customStyle="1" w:styleId="73">
    <w:name w:val="标题 2 Char"/>
    <w:link w:val="3"/>
    <w:qFormat/>
    <w:uiPriority w:val="0"/>
    <w:rPr>
      <w:rFonts w:ascii="Arial" w:hAnsi="Arial" w:eastAsia="黑体"/>
      <w:b/>
      <w:bCs/>
      <w:kern w:val="2"/>
      <w:sz w:val="24"/>
      <w:szCs w:val="32"/>
    </w:rPr>
  </w:style>
  <w:style w:type="character" w:customStyle="1" w:styleId="74">
    <w:name w:val="lefter2"/>
    <w:qFormat/>
    <w:uiPriority w:val="0"/>
  </w:style>
  <w:style w:type="character" w:customStyle="1" w:styleId="75">
    <w:name w:val="一级条标题 Char"/>
    <w:link w:val="40"/>
    <w:qFormat/>
    <w:uiPriority w:val="0"/>
    <w:rPr>
      <w:rFonts w:eastAsia="黑体"/>
      <w:sz w:val="21"/>
      <w:lang w:val="en-US" w:eastAsia="zh-CN" w:bidi="ar-SA"/>
    </w:rPr>
  </w:style>
  <w:style w:type="character" w:customStyle="1" w:styleId="76">
    <w:name w:val="正文缩进 Char"/>
    <w:link w:val="7"/>
    <w:qFormat/>
    <w:uiPriority w:val="0"/>
    <w:rPr>
      <w:rFonts w:eastAsia="宋体"/>
      <w:sz w:val="21"/>
      <w:szCs w:val="24"/>
      <w:lang w:val="en-US" w:eastAsia="zh-CN" w:bidi="ar-SA"/>
    </w:rPr>
  </w:style>
  <w:style w:type="character" w:customStyle="1" w:styleId="77">
    <w:name w:val="页眉 Char"/>
    <w:link w:val="19"/>
    <w:qFormat/>
    <w:uiPriority w:val="99"/>
    <w:rPr>
      <w:kern w:val="2"/>
      <w:sz w:val="18"/>
      <w:szCs w:val="18"/>
    </w:rPr>
  </w:style>
  <w:style w:type="character" w:customStyle="1" w:styleId="78">
    <w:name w:val="页脚 Char"/>
    <w:link w:val="18"/>
    <w:qFormat/>
    <w:uiPriority w:val="99"/>
    <w:rPr>
      <w:kern w:val="2"/>
      <w:sz w:val="18"/>
      <w:szCs w:val="18"/>
    </w:rPr>
  </w:style>
  <w:style w:type="character" w:customStyle="1" w:styleId="79">
    <w:name w:val="st1"/>
    <w:basedOn w:val="28"/>
    <w:qFormat/>
    <w:uiPriority w:val="0"/>
  </w:style>
  <w:style w:type="character" w:customStyle="1" w:styleId="80">
    <w:name w:val="段 Char Char Char"/>
    <w:qFormat/>
    <w:uiPriority w:val="0"/>
    <w:rPr>
      <w:rFonts w:ascii="宋体"/>
      <w:sz w:val="21"/>
      <w:lang w:val="en-US" w:eastAsia="zh-CN" w:bidi="ar-SA"/>
    </w:rPr>
  </w:style>
  <w:style w:type="character" w:customStyle="1" w:styleId="81">
    <w:name w:val="Char Char2"/>
    <w:link w:val="56"/>
    <w:qFormat/>
    <w:uiPriority w:val="0"/>
    <w:rPr>
      <w:rFonts w:ascii="宋体" w:hAnsi="宋体" w:eastAsia="宋体"/>
      <w:w w:val="120"/>
      <w:kern w:val="2"/>
      <w:sz w:val="21"/>
      <w:lang w:val="en-US" w:eastAsia="zh-CN" w:bidi="ar-SA"/>
    </w:rPr>
  </w:style>
  <w:style w:type="character" w:customStyle="1" w:styleId="82">
    <w:name w:val="副标题 Char"/>
    <w:link w:val="21"/>
    <w:qFormat/>
    <w:uiPriority w:val="0"/>
    <w:rPr>
      <w:rFonts w:ascii="Cambria" w:hAnsi="Cambria" w:cs="Times New Roman"/>
      <w:b/>
      <w:bCs/>
      <w:kern w:val="28"/>
      <w:sz w:val="32"/>
      <w:szCs w:val="32"/>
    </w:rPr>
  </w:style>
  <w:style w:type="character" w:customStyle="1" w:styleId="83">
    <w:name w:val="标题 Char"/>
    <w:link w:val="27"/>
    <w:qFormat/>
    <w:uiPriority w:val="0"/>
    <w:rPr>
      <w:rFonts w:ascii="Cambria" w:hAnsi="Cambria" w:cs="Times New Roman"/>
      <w:b/>
      <w:bCs/>
      <w:kern w:val="2"/>
      <w:sz w:val="32"/>
      <w:szCs w:val="32"/>
    </w:rPr>
  </w:style>
  <w:style w:type="character" w:customStyle="1" w:styleId="84">
    <w:name w:val="正文文本 Char"/>
    <w:basedOn w:val="28"/>
    <w:link w:val="9"/>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3285</Words>
  <Characters>18727</Characters>
  <Lines>156</Lines>
  <Paragraphs>43</Paragraphs>
  <TotalTime>10</TotalTime>
  <ScaleCrop>false</ScaleCrop>
  <LinksUpToDate>false</LinksUpToDate>
  <CharactersWithSpaces>21969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2016-06-01T06:32:00Z</dcterms:created>
  <dc:creator>sdjky</dc:creator>
  <cp:lastModifiedBy>大通州帝国公民（魏巍）</cp:lastModifiedBy>
  <cp:lastPrinted>2016-03-23T01:04:00Z</cp:lastPrinted>
  <dcterms:modified xsi:type="dcterms:W3CDTF">2018-08-28T07:32:30Z</dcterms:modified>
  <dc:title>水泥聚苯模壳格构式混凝土</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